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6.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LI/686/21</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23 listopada 2021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poparcia działań zmierzających do zrzeczenia się przez Prezydenta Bytomia w całości odszkodowania za nieruchomości gminne, które stały się własnością Skarbu Państwa z przeznaczeniem na realizację inwestycji drogowej pn.: „Przebudowa układu drogowego w rejonie Placu Wolskiego w ramach zadania: Budowa węzła przesiadkowego na Placu Wolskiego w Bytomiu wraz z przystosowaniem układu komunikacyjnego”</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1372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Popiera się działania Prezydenta Bytomia zmierzające do zrealizowania uprawnień wynikających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kwietnia 2003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szczególnych zasadach przygotowania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realizacji inwestycji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zakresie dróg publicznych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1363), polegających na zrzeczeniu się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całości odszkodowania należnego gminie Bytom od Skarbu Państwa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tytułu przejęcia do zasobu nieruchomości Skarbu Państwa, na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podstawie decyzji Wojewody Śląskiego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nr 29/2018 (IFXIII.7820.60.2018)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zezwoleniu na realizację inwestycji drogowej pn. „Przebudowa układu drogowego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rejonie Placu Wolskiego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ramach zadania: Budowa węzła przesiadkowego na Placu Wolskiego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wraz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przystosowaniem układu komunikacyjnego” za prawo własności działki gruntu nr 1716/119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powierzchni 0,0001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ha (obręb Bytom, k.m 7)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udziale 433/1000 części.</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Mariusz Janas</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xml:space="preserve">W związku z decyzją Wojewody Śląskiego z dnia 6 grudnia 2018 r. nr 29/2018 (IFXIII.7820.60.2018) o zezwoleniu na realizację inwestycji drogowej pn. </w:t>
      </w:r>
      <w:r>
        <w:rPr>
          <w:rFonts w:eastAsia="Times New Roman" w:cs="Times New Roman"/>
          <w:szCs w:val="20"/>
        </w:rPr>
        <w:t>„</w:t>
      </w:r>
      <w:r>
        <w:rPr>
          <w:rFonts w:eastAsia="Times New Roman" w:cs="Times New Roman"/>
          <w:szCs w:val="20"/>
        </w:rPr>
        <w:t>Przebudowa układu drogowego w rejonie Placu Wolskiego w ramach zadania: Budowa węzła przesiadkowego na Placu Wolskiego w Bytomiu wraz z przystosowaniem układu komunikacyjnego” gminie Bytom należy się odszkodowanie. Jest ono należne, gdyż na podstawie wymienionej decyzji prawo własności nieruchomości należących do gminy, a przeznaczonych pod budowę dróg, przenoszone jest z gminy na rzecz Skarbu Państwa w formie wywłaszczenia.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sytuacji, gdy wywłaszczona nieruchomość przeznaczona jest pod budowę drogi krajowej, jej zarządcą z mocy prawa staje się prezydent. W takim przypadku, to również prezydent zobowiązany jest do wypłaty odszkodowania gminie reprezentowanej przez tego prezydenta miasta. Jego obowiązkiem jest również zapłata podatku VAT (od towarów i usług) na rzecz Skarbu Państwa. W istocie gmina ponosi ciężar zapłaty podatku, nie uzyskując dochodów za wywłaszczoną nieruchomość. Dlatego powołując się na art. 12 ust. 7 ustawy o szczególnych zasadach przygotowania i realizacji inwestycji w zakresie dróg publicznych, zgodnie z którym istnieje możliwość zrzeczenia się w całości lub części odszkodowania za nieruchomości, które z mocy prawa stały się własnością odpowiednich jednostek samorządu terytorialnego bądź  Skarbu Państwa, jeżeli przemawia za tym interes społeczny lub gospodarczy, postanawia się skorzystać z uprawnienia wynikającego z tego przepisu. W przedmiotowym przypadku za zrzeczeniem się odszkodowania przemawia interes publiczny oraz gospodarczy tj. dbałość o finanse jednostki samorządu terytorialnego. Bowiem brak zrzeczenia się odszkodowania powodować będzie szkodę majątkową po stronie gminy Bytom. Stosowne oświadczenie złoży Prezydent, natomiast niniejszą uchwałą Rada Miejska popiera działania zmierzające do dokonania takiej czynności.</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A8329E22-6A6B-411F-8BD7-C494621A9CA9.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A8329E22-6A6B-411F-8BD7-C494621A9CA9.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LI/686/21 z dnia 23 listopada 2021 r.</dc:title>
  <dc:subject>w sprawie poparcia działań zmierzających do zrzeczenia się przez Prezydenta Bytomia w^całości odszkodowania za nieruchomości gminne, które stały się własnością Skarbu Państwa z^przeznaczeniem na realizację inwestycji drogowej pn.: „Przebudowa układu drogowego w^rejonie Placu Wolskiego w^ramach zadania: Budowa węzła przesiadkowego na Placu Wolskiego w^Bytomiu wraz z^przystosowaniem układu komunikacyjnego”</dc:subject>
  <dc:creator>masocha</dc:creator>
  <cp:lastModifiedBy>masocha</cp:lastModifiedBy>
  <cp:revision>1</cp:revision>
  <dcterms:created xsi:type="dcterms:W3CDTF">2021-11-24T14:58:19Z</dcterms:created>
  <dcterms:modified xsi:type="dcterms:W3CDTF">2021-11-24T14:58:19Z</dcterms:modified>
  <cp:category>Akt prawny</cp:category>
</cp:coreProperties>
</file>