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LI/681/21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obniżenia wysokości wskaźników procentowych określających wysokość dodatku mieszkaniowego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dodatkach mieszkaniowych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Obniża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 punktów procentowych wysokość wskaźników procentowych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dodatkach mieszkaniowych.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 obniżce,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wysokość dodatku mieszkaniowego, 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ryczałtem na zakup opału,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50% wydatków przypadających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normatywną powierzchnię zajmowanego lokalu mieszkalnego lub 50% faktycznych wydatków ponoszonych za lokal mieszkalny, jeżeli powierzchnia tego lokalu jest mniejsza lub równa normatywnej powierzchni.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Wypłata dodatków mieszkaniowych jest zadaniem własnym gminy, finansowanym w całości z jej budżetu.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6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10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21 czerwca 2001 r. o dodatkach mieszkaniowych (Dz. U. z 2019 r. poz. 2133, z późn. zm.) „wysokość dodatku mieszkaniowego, łącznie z ryczałtem, o którym mowa w ust. 7, nie może przekraczać, z zastrzeżeniem ust. 11,70% wydatków przypadających na normatywną powierzchnię zajmowanego lokalu mieszkalnego lub 70% faktycznych wydatków ponoszonych za lokal mieszkalny, jeżeli powierzchnia tego lokalu jest mniejsza lub równa normatywnej powierzchni”.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2020 r. na wypłatę dodatków mieszkaniowych przeznaczono 4 316 847,00 zł, natomiast w okresie od stycznia 2021 r. do czerwca 2021 r. wydatki te wyniosły 2 239 470,00 zł. Po dokonaniu analizy złożonych wniosków od 1 lipca 2021 r. prognozuje się, że wydatki na realizację ww. zadania w 2022 r. wzrosną do kwoty około 6 000 000,00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zasadnym jest obniżenie wysokości ww. wskaźników procentowych do 50% i w konsekwencji utrzymanie finansowania zadania na poziomie około 4 560 000,00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zapisami, o których mowa w art. 6 ust. 11 ww. ustawy, do kompetencji rady gminy należy podjęcie uchwały w przedmiotowym zakresie.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90F87926-FE4B-4233-BF96-554646A0DEC9.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90F87926-FE4B-4233-BF96-554646A0DEC9.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LI/681/21 z dnia 22 listopada 2021 r.</dc:title>
  <dc:subject>w sprawie obniżenia wysokości wskaźników procentowych określających wysokość dodatku mieszkaniowego</dc:subject>
  <dc:creator>masocha</dc:creator>
  <cp:lastModifiedBy>masocha</cp:lastModifiedBy>
  <cp:revision>1</cp:revision>
  <dcterms:created xsi:type="dcterms:W3CDTF">2021-11-24T14:59:03Z</dcterms:created>
  <dcterms:modified xsi:type="dcterms:W3CDTF">2021-11-24T14:59:03Z</dcterms:modified>
  <cp:category>Akt prawny</cp:category>
</cp:coreProperties>
</file>