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772EEB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772EEB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:rsidR="00A77B3E" w:rsidRDefault="00772EEB">
      <w:pPr>
        <w:keepNext/>
        <w:spacing w:after="480"/>
        <w:jc w:val="center"/>
      </w:pPr>
      <w:r>
        <w:rPr>
          <w:b/>
        </w:rPr>
        <w:t>w sprawie obniżenia wysokości wskaźników procentowych określających wysokość dodatku mieszkaniowego</w:t>
      </w:r>
    </w:p>
    <w:p w:rsidR="00A77B3E" w:rsidRDefault="00772EEB">
      <w:pPr>
        <w:keepLines/>
        <w:spacing w:before="120" w:after="120"/>
        <w:ind w:firstLine="227"/>
      </w:pPr>
      <w:r>
        <w:t xml:space="preserve">Na podstawie art. 18 ust. 2 pkt 15 ustawy z dnia 8 marca </w:t>
      </w:r>
      <w:r>
        <w:t>1990 r. o samorządzie gminnym (Dz. U. z 2021 r. poz. 1372) oraz art. 6 ust. 11 ustawy z dnia 21 czerwca 2001 r. o dodatkach mieszkaniowych (Dz. U. z 2019 r. poz. 2133, z późn. zm.) uchwala się, co następuje:</w:t>
      </w:r>
    </w:p>
    <w:p w:rsidR="00A77B3E" w:rsidRDefault="00772EE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Obniża się o 20 punktów procentowych wys</w:t>
      </w:r>
      <w:r>
        <w:t>okość wskaźników procentowych określonych w art. 6 ust. 10 ustawy z dnia 21 czerwca 2001 r. o dodatkach mieszkaniowych.</w:t>
      </w:r>
    </w:p>
    <w:p w:rsidR="00A77B3E" w:rsidRDefault="00772EE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 obniżce, o której mowa w ust. 1, wysokość dodatku mieszkaniowego, łącznie z ryczałtem na zakup opału, nie może przekraczać 50% wyd</w:t>
      </w:r>
      <w:r>
        <w:rPr>
          <w:color w:val="000000"/>
          <w:u w:color="000000"/>
        </w:rPr>
        <w:t>atków przypadających na normatywną powierzchnię zajmowanego lokalu mieszkalnego lub 50% faktycznych wydatków ponoszonych za lokal mieszkalny, jeżeli powierzchnia tego lokalu jest mniejsza lub równa normatywnej powierzchni.</w:t>
      </w:r>
    </w:p>
    <w:p w:rsidR="00A77B3E" w:rsidRDefault="00772EE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</w:t>
      </w:r>
      <w:r>
        <w:rPr>
          <w:color w:val="000000"/>
          <w:u w:color="000000"/>
        </w:rPr>
        <w:t>ię Prezydentowi Miasta.</w:t>
      </w:r>
    </w:p>
    <w:p w:rsidR="00A77B3E" w:rsidRDefault="00772EEB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wchodzi w życie po upływie 14 dni od dnia ogłoszenia w Dzienniku </w:t>
      </w:r>
      <w:r>
        <w:rPr>
          <w:color w:val="000000"/>
          <w:u w:color="000000"/>
        </w:rPr>
        <w:t>Urzędowym Województwa Śląskiego.</w:t>
      </w:r>
    </w:p>
    <w:p w:rsidR="00987C8A" w:rsidRDefault="00987C8A">
      <w:pP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</w:p>
    <w:p w:rsidR="00987C8A" w:rsidRDefault="00772EEB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eastAsia="en-US" w:bidi="ar-SA"/>
        </w:rPr>
        <w:t>uzasadnienie</w:t>
      </w:r>
    </w:p>
    <w:p w:rsidR="00987C8A" w:rsidRDefault="00772EEB">
      <w:pPr>
        <w:spacing w:line="360" w:lineRule="auto"/>
        <w:ind w:firstLine="72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Wypłata dodatków mieszkaniowych jest zadaniem własnym gminy, finansowanym w całości z jej budżetu.</w:t>
      </w:r>
    </w:p>
    <w:p w:rsidR="00987C8A" w:rsidRDefault="00772EEB">
      <w:pPr>
        <w:spacing w:line="360" w:lineRule="auto"/>
        <w:ind w:firstLine="72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Zgodnie z art. 6 ust. 10 ustawy z dnia 21 czerwca 2001 r. o dodatkach mieszkaniowych (Dz. U. z 2019 r. poz. 21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33, z późn. zm.) „wysokość dodatku mieszkaniowego, łącznie z ryczałtem, o którym mowa w ust. 7, nie może przekraczać, z zastrzeżeniem ust. 11, 70% wydatków przypadających na normatywną powierzchnię zajmowanego lokalu mieszkalnego lub 70% faktycznych wydatk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ów ponoszonych za lokal mieszkalny, jeżeli powierzchnia tego lokalu jest mniejsza lub równa normatywnej powierzchni”.  </w:t>
      </w:r>
    </w:p>
    <w:p w:rsidR="00987C8A" w:rsidRDefault="00772EEB">
      <w:pPr>
        <w:spacing w:line="360" w:lineRule="auto"/>
        <w:ind w:firstLine="72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W 2020 r. na wypłatę dodatków mieszkaniowych przeznaczono 4 316 847,00 zł, natomiast w okresie od stycznia 2021 r. do czerwca 2021 r. wy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datki te wyniosły 2 239 470,00 zł. Po dokonaniu analizy złożonych wniosków od 1 lipca 2021 r. prognozuje się, że wydatki na  realizację ww. zadania w 2022 r. wzrosną do kwoty około 6 000 000,00 zł.</w:t>
      </w:r>
    </w:p>
    <w:p w:rsidR="00987C8A" w:rsidRDefault="00772EEB">
      <w:pPr>
        <w:spacing w:line="360" w:lineRule="auto"/>
        <w:ind w:firstLine="72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W związku z powyższym zasadnym jest obniżenie wysokości ww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. wskaźników procentowych do 50% i w konsekwencji utrzymanie finansowania zadania na poziomie około 4 560 000,00 zł. </w:t>
      </w:r>
    </w:p>
    <w:p w:rsidR="00987C8A" w:rsidRDefault="00772EEB">
      <w:pPr>
        <w:spacing w:line="360" w:lineRule="auto"/>
        <w:ind w:firstLine="72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Zgodnie z zapisami, o których mowa w art. 6 ust. 11 ww. ustawy, do kompetencji rady gminy należy podjęcie uchwały w przedmiotowym zakresie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. </w:t>
      </w:r>
    </w:p>
    <w:p w:rsidR="00987C8A" w:rsidRDefault="00987C8A">
      <w:pPr>
        <w:spacing w:line="360" w:lineRule="auto"/>
        <w:ind w:firstLine="720"/>
        <w:rPr>
          <w:rFonts w:eastAsia="Times New Roman" w:cs="Times New Roman"/>
          <w:color w:val="000000"/>
          <w:szCs w:val="20"/>
          <w:shd w:val="clear" w:color="auto" w:fill="FFFFFF"/>
        </w:rPr>
      </w:pPr>
    </w:p>
    <w:p w:rsidR="00987C8A" w:rsidRDefault="00987C8A">
      <w:pPr>
        <w:spacing w:line="360" w:lineRule="auto"/>
        <w:ind w:firstLine="720"/>
        <w:rPr>
          <w:rFonts w:eastAsia="Times New Roman" w:cs="Times New Roman"/>
          <w:color w:val="000000"/>
          <w:szCs w:val="20"/>
          <w:shd w:val="clear" w:color="auto" w:fill="FFFFFF"/>
        </w:rPr>
      </w:pPr>
    </w:p>
    <w:p w:rsidR="00987C8A" w:rsidRDefault="00772EEB">
      <w:pPr>
        <w:spacing w:line="360" w:lineRule="auto"/>
        <w:ind w:firstLine="720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</w:p>
    <w:sectPr w:rsidR="00987C8A" w:rsidSect="00987C8A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2EEB" w:rsidRDefault="00772EEB" w:rsidP="00987C8A">
      <w:r>
        <w:separator/>
      </w:r>
    </w:p>
  </w:endnote>
  <w:endnote w:type="continuationSeparator" w:id="1">
    <w:p w:rsidR="00772EEB" w:rsidRDefault="00772EEB" w:rsidP="00987C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87C8A" w:rsidTr="000A6888">
      <w:tc>
        <w:tcPr>
          <w:tcW w:w="6721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87C8A" w:rsidRDefault="000A6888">
          <w:pPr>
            <w:rPr>
              <w:sz w:val="18"/>
            </w:rPr>
          </w:pPr>
          <w:r>
            <w:rPr>
              <w:sz w:val="23"/>
              <w:szCs w:val="23"/>
            </w:rPr>
            <w:t>Id: 7922DE73-DCB5-4085-9E2D-3900503EA285. Projekt</w:t>
          </w:r>
        </w:p>
      </w:tc>
      <w:tc>
        <w:tcPr>
          <w:tcW w:w="3361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87C8A" w:rsidRDefault="00772EE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87C8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A6888">
            <w:rPr>
              <w:sz w:val="18"/>
            </w:rPr>
            <w:fldChar w:fldCharType="separate"/>
          </w:r>
          <w:r w:rsidR="000A6888">
            <w:rPr>
              <w:noProof/>
              <w:sz w:val="18"/>
            </w:rPr>
            <w:t>1</w:t>
          </w:r>
          <w:r w:rsidR="00987C8A">
            <w:rPr>
              <w:sz w:val="18"/>
            </w:rPr>
            <w:fldChar w:fldCharType="end"/>
          </w:r>
        </w:p>
      </w:tc>
    </w:tr>
  </w:tbl>
  <w:p w:rsidR="00987C8A" w:rsidRDefault="00987C8A" w:rsidP="000A6888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47"/>
      <w:gridCol w:w="3274"/>
    </w:tblGrid>
    <w:tr w:rsidR="00987C8A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87C8A" w:rsidRDefault="000A6888">
          <w:pPr>
            <w:rPr>
              <w:sz w:val="18"/>
            </w:rPr>
          </w:pPr>
          <w:r>
            <w:rPr>
              <w:sz w:val="23"/>
              <w:szCs w:val="23"/>
            </w:rPr>
            <w:t>Id: 7922DE73-DCB5-4085-9E2D-3900503EA285. 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87C8A" w:rsidRDefault="00772EE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87C8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A6888">
            <w:rPr>
              <w:sz w:val="18"/>
            </w:rPr>
            <w:fldChar w:fldCharType="separate"/>
          </w:r>
          <w:r w:rsidR="000A6888">
            <w:rPr>
              <w:noProof/>
              <w:sz w:val="18"/>
            </w:rPr>
            <w:t>2</w:t>
          </w:r>
          <w:r w:rsidR="00987C8A">
            <w:rPr>
              <w:sz w:val="18"/>
            </w:rPr>
            <w:fldChar w:fldCharType="end"/>
          </w:r>
        </w:p>
      </w:tc>
    </w:tr>
  </w:tbl>
  <w:p w:rsidR="00987C8A" w:rsidRDefault="00987C8A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2EEB" w:rsidRDefault="00772EEB" w:rsidP="00987C8A">
      <w:r>
        <w:separator/>
      </w:r>
    </w:p>
  </w:footnote>
  <w:footnote w:type="continuationSeparator" w:id="1">
    <w:p w:rsidR="00772EEB" w:rsidRDefault="00772EEB" w:rsidP="00987C8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A6888"/>
    <w:rsid w:val="00772EEB"/>
    <w:rsid w:val="00987C8A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87C8A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A68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A6888"/>
    <w:rPr>
      <w:rFonts w:ascii="Arial" w:eastAsia="Arial" w:hAnsi="Arial" w:cs="Arial"/>
      <w:sz w:val="24"/>
      <w:szCs w:val="24"/>
    </w:rPr>
  </w:style>
  <w:style w:type="paragraph" w:styleId="Stopka">
    <w:name w:val="footer"/>
    <w:basedOn w:val="Normalny"/>
    <w:link w:val="StopkaZnak"/>
    <w:rsid w:val="000A68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A6888"/>
    <w:rPr>
      <w:rFonts w:ascii="Arial" w:eastAsia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343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obniżenia wysokości wskaźników procentowych określających wysokość dodatku mieszkaniowego</dc:subject>
  <dc:creator>nociepka</dc:creator>
  <cp:lastModifiedBy>nociepka</cp:lastModifiedBy>
  <cp:revision>2</cp:revision>
  <dcterms:created xsi:type="dcterms:W3CDTF">2021-10-18T08:49:00Z</dcterms:created>
  <dcterms:modified xsi:type="dcterms:W3CDTF">2021-10-18T08:49:00Z</dcterms:modified>
  <cp:category>Akt prawny</cp:category>
</cp:coreProperties>
</file>