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2F2564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2F2564">
      <w:pPr>
        <w:spacing w:before="280" w:after="280" w:line="276" w:lineRule="auto"/>
        <w:jc w:val="center"/>
        <w:rPr>
          <w:b/>
          <w:caps/>
        </w:rPr>
      </w:pPr>
      <w:r>
        <w:t>z dnia .................... 2021 r.</w:t>
      </w:r>
    </w:p>
    <w:p w:rsidR="00A77B3E" w:rsidRDefault="002F2564">
      <w:pPr>
        <w:keepNext/>
        <w:spacing w:after="480" w:line="276" w:lineRule="auto"/>
        <w:jc w:val="center"/>
      </w:pPr>
      <w:r>
        <w:rPr>
          <w:b/>
        </w:rPr>
        <w:t>zmieniająca uchwałę nr XXXIV/501/20 Rady Miejskiej w Bytomiu w sprawie statutu Bytomskiego Centrum Kultury z siedzibą w Bytomiu przy pl. Karin Stanek 1</w:t>
      </w:r>
    </w:p>
    <w:p w:rsidR="00A77B3E" w:rsidRDefault="002F2564">
      <w:pPr>
        <w:keepLines/>
        <w:spacing w:before="120" w:after="120"/>
        <w:ind w:firstLine="227"/>
      </w:pPr>
      <w:r>
        <w:t xml:space="preserve">Na </w:t>
      </w:r>
      <w:r>
        <w:t>podstawie art. 18 ust. 2 </w:t>
      </w:r>
      <w:proofErr w:type="spellStart"/>
      <w:r>
        <w:t>pkt</w:t>
      </w:r>
      <w:proofErr w:type="spellEnd"/>
      <w:r>
        <w:t> 15, art. 40 ust. 2 </w:t>
      </w:r>
      <w:proofErr w:type="spellStart"/>
      <w:r>
        <w:t>pkt</w:t>
      </w:r>
      <w:proofErr w:type="spellEnd"/>
      <w:r>
        <w:t> 2, art. 41 ust. 1 i art. 42 ustawy z dnia 8 marca 1990 r. o samorządzie gminnym (Dz. U. z 2021 r. poz. 1372), art. 13 ust.1 i 2 ustawy z dnia 25 października 1991 r. o organizowaniu i prowadzeniu działaln</w:t>
      </w:r>
      <w:r>
        <w:t>ości kulturalnej (Dz. U. z 2020 r. poz. 194, 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 ustawy z dnia 20 lipca 2000 r. o ogłaszaniu aktów normatywnych i niektórych innych aktów prawnych (</w:t>
      </w:r>
      <w:proofErr w:type="spellStart"/>
      <w:r>
        <w:t>Dz.U</w:t>
      </w:r>
      <w:proofErr w:type="spellEnd"/>
      <w:r>
        <w:t>. z 2019 r. poz.1461, z </w:t>
      </w:r>
      <w:proofErr w:type="spellStart"/>
      <w:r>
        <w:t>późn</w:t>
      </w:r>
      <w:proofErr w:type="spellEnd"/>
      <w:r>
        <w:t>. zm.) uchwala się, co n</w:t>
      </w:r>
      <w:r>
        <w:t>astępuje:</w:t>
      </w:r>
    </w:p>
    <w:p w:rsidR="00A77B3E" w:rsidRDefault="002F2564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XXXIV/501/20 Rady Miejskiej w Bytomiu z dnia 23 listopada 2020 r. w sprawie statutu Bytomskiego Centrum Kultury z siedzibą w Bytomiu przy pl. Karin Stanek 1, w załączniku do załącznika do uchwały - statutu Bytomskiego Centrum Ku</w:t>
      </w:r>
      <w:r>
        <w:t xml:space="preserve">ltury, po </w:t>
      </w:r>
      <w:proofErr w:type="spellStart"/>
      <w:r>
        <w:t>pkt</w:t>
      </w:r>
      <w:proofErr w:type="spellEnd"/>
      <w:r>
        <w:t xml:space="preserve"> 1 dodaje się </w:t>
      </w:r>
      <w:proofErr w:type="spellStart"/>
      <w:r>
        <w:t>pkt</w:t>
      </w:r>
      <w:proofErr w:type="spellEnd"/>
      <w:r>
        <w:t> 2 w brzmieniu:</w:t>
      </w:r>
    </w:p>
    <w:p w:rsidR="00A77B3E" w:rsidRDefault="002F2564">
      <w:pPr>
        <w:spacing w:before="120" w:after="120"/>
        <w:ind w:firstLine="227"/>
        <w:jc w:val="both"/>
      </w:pPr>
      <w:r>
        <w:t>"2. Placówka - Filia BCK:</w:t>
      </w:r>
    </w:p>
    <w:p w:rsidR="00A77B3E" w:rsidRDefault="002F2564">
      <w:pPr>
        <w:spacing w:before="120" w:after="120"/>
        <w:ind w:firstLine="227"/>
        <w:jc w:val="both"/>
      </w:pPr>
      <w:r>
        <w:t>Pałac w Miechowicach.".</w:t>
      </w:r>
    </w:p>
    <w:p w:rsidR="00A77B3E" w:rsidRDefault="002F2564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2F2564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po upływie 14 dni od dnia ogłoszenia w Dzienniku Urzędowym Województwa Śląskiego.</w:t>
      </w:r>
    </w:p>
    <w:p w:rsidR="00952C2A" w:rsidRDefault="00952C2A">
      <w:pPr>
        <w:rPr>
          <w:rFonts w:eastAsia="Times New Roman" w:cs="Times New Roman"/>
          <w:szCs w:val="20"/>
        </w:rPr>
      </w:pPr>
    </w:p>
    <w:p w:rsidR="00952C2A" w:rsidRDefault="002F2564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52C2A" w:rsidRDefault="002F25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Uchwała dokonuje zmiany statutu Bytomskiego Centrum Kultury w części dotyczącej wykazu </w:t>
      </w:r>
      <w:r>
        <w:rPr>
          <w:rFonts w:eastAsia="Times New Roman" w:cs="Times New Roman"/>
          <w:szCs w:val="20"/>
        </w:rPr>
        <w:t xml:space="preserve">placówek filialnych tej instytucji kultury. Bytomskie Centrum Kultury we wrześniu br. nabyło tytuł prawny do korzystania z infrastruktury zmodernizowanego zespołu pałacowego </w:t>
      </w:r>
      <w:proofErr w:type="spellStart"/>
      <w:r>
        <w:rPr>
          <w:rFonts w:eastAsia="Times New Roman" w:cs="Times New Roman"/>
          <w:szCs w:val="20"/>
        </w:rPr>
        <w:t>Tiele-Wincklerów</w:t>
      </w:r>
      <w:proofErr w:type="spellEnd"/>
      <w:r>
        <w:rPr>
          <w:rFonts w:eastAsia="Times New Roman" w:cs="Times New Roman"/>
          <w:szCs w:val="20"/>
        </w:rPr>
        <w:t xml:space="preserve"> w Parku Ludowym w Bytomiu-Miechowicach i z uwagi na zakres planow</w:t>
      </w:r>
      <w:r>
        <w:rPr>
          <w:rFonts w:eastAsia="Times New Roman" w:cs="Times New Roman"/>
          <w:szCs w:val="20"/>
        </w:rPr>
        <w:t>anych tam działań podjęto decyzję o wyodrębnieniu tej sfery działalności BCK                      w formie placówki filialnej.</w:t>
      </w:r>
    </w:p>
    <w:p w:rsidR="00952C2A" w:rsidRDefault="002F25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Obecnie zachowana część miechowickiego pałacu przy ul. Dzierżonia to pozostałości po posiadłości rodu </w:t>
      </w:r>
      <w:proofErr w:type="spellStart"/>
      <w:r>
        <w:rPr>
          <w:rFonts w:eastAsia="Times New Roman" w:cs="Times New Roman"/>
          <w:szCs w:val="20"/>
        </w:rPr>
        <w:t>Tiele-Wincklerów</w:t>
      </w:r>
      <w:proofErr w:type="spellEnd"/>
      <w:r>
        <w:rPr>
          <w:rFonts w:eastAsia="Times New Roman" w:cs="Times New Roman"/>
          <w:szCs w:val="20"/>
        </w:rPr>
        <w:t>, którzy w </w:t>
      </w:r>
      <w:r>
        <w:rPr>
          <w:rFonts w:eastAsia="Times New Roman" w:cs="Times New Roman"/>
          <w:szCs w:val="20"/>
        </w:rPr>
        <w:t>drugiej połowie XIX wieku przebudowali obiekt na styl Tudorów. Pałac przetrwał do II wojny światowej, kiedy to w 1945 r. został splądrowany i podpalony przez Armię Czerwoną. Ostatecznie został zniszczony w latach 50. i w tej formie jako zespół pałacowo-par</w:t>
      </w:r>
      <w:r>
        <w:rPr>
          <w:rFonts w:eastAsia="Times New Roman" w:cs="Times New Roman"/>
          <w:szCs w:val="20"/>
        </w:rPr>
        <w:t xml:space="preserve">kowy </w:t>
      </w:r>
      <w:proofErr w:type="spellStart"/>
      <w:r>
        <w:rPr>
          <w:rFonts w:eastAsia="Times New Roman" w:cs="Times New Roman"/>
          <w:szCs w:val="20"/>
        </w:rPr>
        <w:t>Tiele-Wincklerów</w:t>
      </w:r>
      <w:proofErr w:type="spellEnd"/>
      <w:r>
        <w:rPr>
          <w:rFonts w:eastAsia="Times New Roman" w:cs="Times New Roman"/>
          <w:szCs w:val="20"/>
        </w:rPr>
        <w:t xml:space="preserve"> został w 1995 r. wpisany do rejestru zabytków województwa śląskiego.</w:t>
      </w:r>
    </w:p>
    <w:p w:rsidR="00952C2A" w:rsidRDefault="002F25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realizowanym w Bytomiu projektem kompleksowej strategicznej rewitalizacji miasta podjęto decyzję o odbudowie oficyny pałacu z przeznaczeniem na cele kult</w:t>
      </w:r>
      <w:r>
        <w:rPr>
          <w:rFonts w:eastAsia="Times New Roman" w:cs="Times New Roman"/>
          <w:szCs w:val="20"/>
        </w:rPr>
        <w:t>uralne. Prace związane z rewaloryzacją oficyny pałacu rozpoczęły się w 2019 r. Całkowita wartość projektu wyniosła około 11,6 mln zł, z czego dofinansowanie ze środków unijnych to ponad 5,5 mln zł.</w:t>
      </w:r>
    </w:p>
    <w:p w:rsidR="00952C2A" w:rsidRDefault="002F25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„Rewaloryzacja zespołu pałacowego </w:t>
      </w:r>
      <w:proofErr w:type="spellStart"/>
      <w:r>
        <w:rPr>
          <w:rFonts w:eastAsia="Times New Roman" w:cs="Times New Roman"/>
          <w:szCs w:val="20"/>
        </w:rPr>
        <w:t>Tiele-Wincklerów</w:t>
      </w:r>
      <w:proofErr w:type="spellEnd"/>
      <w:r>
        <w:rPr>
          <w:rFonts w:eastAsia="Times New Roman" w:cs="Times New Roman"/>
          <w:szCs w:val="20"/>
        </w:rPr>
        <w:t xml:space="preserve"> zlokalizowanego w Parku Ludowym” został dofinansowany z Regionalnego Programu Operacyjnego Województwa Śląskiego na lata 2014-2020 (Europejski Fundusz Rozwoju Regionalnego) dla osi priorytetowej: V. Ochrona środowiska i efektywne wykorzystywanie zasobów d</w:t>
      </w:r>
      <w:r>
        <w:rPr>
          <w:rFonts w:eastAsia="Times New Roman" w:cs="Times New Roman"/>
          <w:szCs w:val="20"/>
        </w:rPr>
        <w:t xml:space="preserve">la działania: 5.3. Dziedzictwo kulturowe dla </w:t>
      </w:r>
      <w:proofErr w:type="spellStart"/>
      <w:r>
        <w:rPr>
          <w:rFonts w:eastAsia="Times New Roman" w:cs="Times New Roman"/>
          <w:szCs w:val="20"/>
        </w:rPr>
        <w:t>poddziałania</w:t>
      </w:r>
      <w:proofErr w:type="spellEnd"/>
      <w:r>
        <w:rPr>
          <w:rFonts w:eastAsia="Times New Roman" w:cs="Times New Roman"/>
          <w:szCs w:val="20"/>
        </w:rPr>
        <w:t>: 5.3.2. Dziedzictwo kulturowe - OSI. Oznacza to, że projekt powstały przy wykorzystaniu tych środków powinien być przeznaczony na działalność kulturalną.</w:t>
      </w:r>
    </w:p>
    <w:p w:rsidR="00952C2A" w:rsidRDefault="002F25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miechowickim pałacu BCK będzie realizowało</w:t>
      </w:r>
      <w:r>
        <w:rPr>
          <w:rFonts w:eastAsia="Times New Roman" w:cs="Times New Roman"/>
          <w:szCs w:val="20"/>
        </w:rPr>
        <w:t xml:space="preserve"> swoje dotychczasowe cele statutowe. Filia będzie miejscem spotkań z literaturą, sztukami wizualnymi, filmem. Nie zabraknie w nim wydarzeń familijnych i edukacyjnych. Infrastruktura pałacu daje możliwości realizowania kameralnych form artystycznych, takich</w:t>
      </w:r>
      <w:r>
        <w:rPr>
          <w:rFonts w:eastAsia="Times New Roman" w:cs="Times New Roman"/>
          <w:szCs w:val="20"/>
        </w:rPr>
        <w:t xml:space="preserve"> jak spotkania autorskie, wystawy, niewielkie koncerty czy warsztaty dla dzieci i dorosłych, ale również organizowania wydarzeń kulturalnych z wykorzystaniem atrakcyjnego pleneru przylegającego do pałacu. Ważnym elementem działalności pałacu będzie ochrona</w:t>
      </w:r>
      <w:r>
        <w:rPr>
          <w:rFonts w:eastAsia="Times New Roman" w:cs="Times New Roman"/>
          <w:szCs w:val="20"/>
        </w:rPr>
        <w:t xml:space="preserve"> pamięci o historii i dziedzictwie tego miejsca i jego mieszkańcach poprzez ujęcie w "Szlaku Matki Ewy". Ważnym zadaniem filii będzie stałe umacnianie kontaktów ze społecznością dzielnicy Miechowice, dla której pałac jest ważnym elementem lokalnej identyfi</w:t>
      </w:r>
      <w:r>
        <w:rPr>
          <w:rFonts w:eastAsia="Times New Roman" w:cs="Times New Roman"/>
          <w:szCs w:val="20"/>
        </w:rPr>
        <w:t>kacji tożsamościowej.</w:t>
      </w:r>
    </w:p>
    <w:p w:rsidR="00952C2A" w:rsidRDefault="002F2564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Projekt uchwały poddano konsultacjom zgodnie z uchwałą nr XXIX/395/14 Rady Miejskiej w Bytomiu z dnia 24 marca 2014 r. w sprawie określenia szczegółowego sposobu konsultowania z radą działalności pożytku publicznego lub organizacjami </w:t>
      </w:r>
      <w:r>
        <w:rPr>
          <w:rFonts w:eastAsia="Times New Roman" w:cs="Times New Roman"/>
          <w:szCs w:val="20"/>
        </w:rPr>
        <w:t>pozarządowymi i podmiotami wymienionymi w art. 3 ust. 3 ustawy o działalności pożytku publicznego                     i o wolontariacie projektów aktów prawa miejscowego w dziedzinach dotyczących działalności statutowej tych organizacji, z </w:t>
      </w:r>
      <w:proofErr w:type="spellStart"/>
      <w:r>
        <w:rPr>
          <w:rFonts w:eastAsia="Times New Roman" w:cs="Times New Roman"/>
          <w:szCs w:val="20"/>
        </w:rPr>
        <w:t>późn.zm</w:t>
      </w:r>
      <w:proofErr w:type="spellEnd"/>
      <w:r>
        <w:rPr>
          <w:rFonts w:eastAsia="Times New Roman" w:cs="Times New Roman"/>
          <w:szCs w:val="20"/>
        </w:rPr>
        <w:t>.</w:t>
      </w:r>
    </w:p>
    <w:sectPr w:rsidR="00952C2A" w:rsidSect="00952C2A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564" w:rsidRDefault="002F2564" w:rsidP="00952C2A">
      <w:r>
        <w:separator/>
      </w:r>
    </w:p>
  </w:endnote>
  <w:endnote w:type="continuationSeparator" w:id="0">
    <w:p w:rsidR="002F2564" w:rsidRDefault="002F2564" w:rsidP="00952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52C2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52C2A" w:rsidRDefault="002F2564">
          <w:pPr>
            <w:rPr>
              <w:sz w:val="18"/>
            </w:rPr>
          </w:pPr>
          <w:r>
            <w:rPr>
              <w:sz w:val="18"/>
            </w:rPr>
            <w:t>Id: 103EE2E0-DB13-4805-90F0-3C081096D</w:t>
          </w:r>
          <w:r>
            <w:rPr>
              <w:sz w:val="18"/>
            </w:rPr>
            <w:t>C01.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52C2A" w:rsidRDefault="002F25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52C2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45026">
            <w:rPr>
              <w:sz w:val="18"/>
            </w:rPr>
            <w:fldChar w:fldCharType="separate"/>
          </w:r>
          <w:r w:rsidR="00045026">
            <w:rPr>
              <w:noProof/>
              <w:sz w:val="18"/>
            </w:rPr>
            <w:t>1</w:t>
          </w:r>
          <w:r w:rsidR="00952C2A">
            <w:rPr>
              <w:sz w:val="18"/>
            </w:rPr>
            <w:fldChar w:fldCharType="end"/>
          </w:r>
        </w:p>
      </w:tc>
    </w:tr>
  </w:tbl>
  <w:p w:rsidR="00952C2A" w:rsidRDefault="00952C2A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52C2A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52C2A" w:rsidRDefault="002F2564">
          <w:pPr>
            <w:rPr>
              <w:sz w:val="18"/>
            </w:rPr>
          </w:pPr>
          <w:r>
            <w:rPr>
              <w:sz w:val="18"/>
            </w:rPr>
            <w:t>Id: 103</w:t>
          </w:r>
          <w:r>
            <w:rPr>
              <w:sz w:val="18"/>
            </w:rPr>
            <w:t>EE2E0-DB13-4805-90F0-3C081096DC01.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52C2A" w:rsidRDefault="002F25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52C2A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45026">
            <w:rPr>
              <w:sz w:val="18"/>
            </w:rPr>
            <w:fldChar w:fldCharType="separate"/>
          </w:r>
          <w:r w:rsidR="00045026">
            <w:rPr>
              <w:noProof/>
              <w:sz w:val="18"/>
            </w:rPr>
            <w:t>2</w:t>
          </w:r>
          <w:r w:rsidR="00952C2A">
            <w:rPr>
              <w:sz w:val="18"/>
            </w:rPr>
            <w:fldChar w:fldCharType="end"/>
          </w:r>
        </w:p>
      </w:tc>
    </w:tr>
  </w:tbl>
  <w:p w:rsidR="00952C2A" w:rsidRDefault="00952C2A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564" w:rsidRDefault="002F2564" w:rsidP="00952C2A">
      <w:r>
        <w:separator/>
      </w:r>
    </w:p>
  </w:footnote>
  <w:footnote w:type="continuationSeparator" w:id="0">
    <w:p w:rsidR="002F2564" w:rsidRDefault="002F2564" w:rsidP="00952C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45026"/>
    <w:rsid w:val="002F2564"/>
    <w:rsid w:val="00952C2A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52C2A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XXXIV/501/20 Rady Miejskiej w^Bytomiu w^sprawie statutu Bytomskiego Centrum Kultury z siedzibą w Bytomiu przy pl. Karin Stanek 1</dc:subject>
  <dc:creator>pkowalski</dc:creator>
  <cp:lastModifiedBy>Piotr Kowalski</cp:lastModifiedBy>
  <cp:revision>2</cp:revision>
  <dcterms:created xsi:type="dcterms:W3CDTF">2021-10-15T09:51:00Z</dcterms:created>
  <dcterms:modified xsi:type="dcterms:W3CDTF">2021-10-15T09:51:00Z</dcterms:modified>
  <cp:category>Akt prawny</cp:category>
</cp:coreProperties>
</file>