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z w:val="24"/>
          <w:vertAlign w:val="baseline"/>
        </w:rPr>
        <w:t>w sprawie przystąpienia do aktualizacji</w:t>
      </w:r>
      <w:r>
        <w:rPr>
          <w:rFonts w:ascii="Arial" w:eastAsia="Arial" w:hAnsi="Arial" w:cs="Arial"/>
          <w:b/>
          <w:i w:val="0"/>
          <w:caps w:val="0"/>
          <w:sz w:val="24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subscript"/>
        </w:rPr>
        <w:t>„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Gminnego Programu Rewitalizacji. Bytom 2020+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superscript"/>
        </w:rPr>
        <w:t>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 w:color="000000"/>
          <w:vertAlign w:val="baseline"/>
        </w:rPr>
        <w:t>Na podstawie art.18 ust. 2 pkt 15 ustawy z dnia 8 marca 1990 r. o samorządzie gminnym (Dz. U .z 2020 r. poz. 713, z poźń. zm.) oraz art.14 ust.1,art. 22 i art. 23 ustawy z dnia 9 października 2015 r. o rewitalizacji (Dz. U. z 2021 r. poz. 485)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 w:color="000000"/>
          <w:vertAlign w:val="baseline"/>
        </w:rPr>
        <w:t xml:space="preserve">Przystępuje się do aktualizacji 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„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Gminnego Programu Rewitalizacji. Bytom 2020+" przyjętego uchwałą nr XXXVIII/487/17 Rady Miejskiej w Bytomiu z dnia 27 lutego 2017 r.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z późn. zm.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 życie z 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Gminny Program Rewitalizacji. Bytom 2020+ został przyjęty uchwałą nr XXXVIII/487/17 Rady Miejskiej w Bytomiu z dnia 27 lutego 2017 r. Zgodnie z art. 22 ust.1 ustawy z dnia</w:t>
        <w:br/>
        <w:t>9 października 2015 r. o rewitalizacji, gminny program rewitalizacji podlega ocenie aktualności i stopnia realizacji, dokonywanej przez wójta, burmistrza albo  prezydenta miasta co najmniej raz na 3 lata, zgodnie z systemem monitorowania i oceny określonym w tym programie.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Przyjęto, że sprawozdawczość z realizacji GPR, w szczególności z realizacji projektów, wykonywana będzie w interwałach rocznych, zaś kompleksowy monitoring przeprowadzany będzie co dwa lata (do 30 marca).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W bieżącym roku sporządzony został II raport monitoringowy. Jedną z rekomendacji jest  uelastycznienie zapisów w GPR dotyczących zasad wyznaczania składu i zasad działania Komitetu  Rewitalizacji, co wynika z trudności z uzupełnieniem składu</w:t>
      </w:r>
      <w:r>
        <w:rPr>
          <w:rFonts w:ascii="Calibri" w:eastAsia="Times New Roman" w:hAnsi="Calibri" w:cs="Times New Roman"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osobowego tego organu. 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Zmiany w obowiązującym dokumencie wymaga również zapis dotyczący korekt GPR, zgodnie z którym aktualizacji Gminnego Programu Rewitalizacji można dokonywać </w:t>
        <w:br/>
        <w:t>w miarę potrzeb, nie częściej niż raz w roku.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Z uwagi na bardziej efektywne oddziaływanie  na negatywne zjawiska zidentyfikowane w obszarze rewitalizacji i coraz większą dynamikę zachodzących zmian, niezbędne jest częstsze wykorzystanie bardziej elastycznych narzędzi jak np. przedsięwzięcia uzupełniające podstawową interwencję projektową.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Proces zmiany Gminnego Programu Rewitalizacji. Bytom 2020+  (na podstawie art. 23 ustawy o rewitalizacji) obejmuje: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1) uaktualnienie zapisów dokumentów w zakresie niewpływającym na jego merytoryczne założenia;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2)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 uzupełnienie - na podstawie zapisów rozdziału 3.3 podrozdziału 3.3.2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GPR - załącznika nr 4 do GPR - Lista przedsięwzięć uzupełniających.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Zgodnie z art. 22 ust. 3 Prezydent Miasta wystąpił do Rady Miejskiej w Bytomiu </w:t>
        <w:br/>
        <w:t>z wnioskiem o zmianę Gminnego Programu Rewitalizacji. Bytom 2020+.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47681FC6-9F2D-463A-AD06-911188853632.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47681FC6-9F2D-463A-AD06-911188853632.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przystąpienia do aktualizacji „Gminnego Programu Rewitalizacji. Bytom 2020+”</dc:subject>
  <dc:creator>mkruk</dc:creator>
  <cp:lastModifiedBy>mkruk</cp:lastModifiedBy>
  <cp:revision>1</cp:revision>
  <dcterms:created xsi:type="dcterms:W3CDTF">2021-06-14T11:52:07Z</dcterms:created>
  <dcterms:modified xsi:type="dcterms:W3CDTF">2021-06-14T11:52:07Z</dcterms:modified>
  <cp:category>Akt prawny</cp:category>
</cp:coreProperties>
</file>