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4.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XXXIV/299/26</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22 czerwca 2026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zwolnienia od podatku od nieruchomości w ramach regionalnej pomocy inwestycyjnej na wspieranie inwestycji początkowej na terenie miasta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662),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20b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1991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podatkach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opłatach lokalnych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707,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rozporządzeniem Rady Ministrów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2015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warunków udzielania zwolnień od podatku od nieruchomości oraz podatku od środków transportowych, stanowiących regionalną pomoc inwestycyjną, pomoc na kulturę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zachowanie dziedzictwa kulturowego, pomoc na infrastrukturę sportową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wielofunkcyjną infrastrukturę rekreacyjną, pomoc na infrastrukturę lokalną, pomoc na rzecz regionalnych portów lotniczych oraz pomoc na rzecz portów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2025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1041)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uchwala się, co następuje:</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auto"/>
          <w:sz w:val="24"/>
          <w:u w:val="none"/>
          <w:vertAlign w:val="baseline"/>
        </w:rPr>
        <w:t>Zwalnia się od podatku od nieruchomości, zajęte na prowadzenie działalności gospodarczej na terenie miasta Bytomia, nowo wybudowane budynki lub ich części, nowo wybudowane budowle lub ich części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związku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realizacją inwestycji początkowej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rozumieniu §</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rozporządzenia Rady Ministrów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stycznia 2015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sprawie warunków udzielania zwolnień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podatku od nieruchomości oraz podatku od środków transportowych, stanowiących regionalną pomoc inwestycyjną, pomoc na kulturę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zachowanie dziedzictwa kulturowego, pomoc na infrastrukturę sportową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wielofunkcyjną infrastrukturę rekreacyjną, pomoc na infrastrukturę lokalną, pomoc na rzecz regionalnych portów lotniczych oraz pomoc na rzecz portów (Dz.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 2025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poz.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1041), zwanego dalej „rozporządzeniem”. Inwestycja początkowa zwana będzie dalej „inwestycją”.</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ust.1, zwane dalej „zwolnieniem”, przysługuje na warunkach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oraz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zapisów niniejszej uchwały.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Łączna wartość pomocy udzielonej przedsiębiorcy na podstawie niniejszej uchwały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przekroczyć równowartości maksymalnej intensywności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Za nowo wybudowane budynki lub ich części, nowo wybudowane budowle lub ich części uważa się takie, których budowa została rozpoczęta po dniu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 przez okres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zrealizowania – po wejściu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niniejszej uchwały – inwestycji, której koszty kwalifikowane wyniosą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 niż 10.000.000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 od dnia powstania obowiązku podatkowego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1991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podatkach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opłatach lokalnych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terminach określonych niniejszą uchwałą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dłużej jednak niż do końca miesiąca poprzedzającego miesiąc,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przekroczono intensywność lub wartość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przysługuje przez okres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dłuższy niż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licząc od terminów wskazanych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następuje po złożeniu deklaracji lub informacji na podatek od nieruchomości zawierającej dane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nieruchomościach korzystających ze zwolnienia od podatku od nieruchomości.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przekroczyć należnego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zwolnienia podatku od nieruchomości.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Zwolnieniu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podlegają budynki lub ich części oraz budowle lub ich części związane z:</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działalnością handlową;</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działalnością polegającą na prowadzeniu stacji paliw;</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działalnością instytucji finansowych.</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Koszty kwalifikujące się do objęcia pomocą,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 określa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rozporządzenia.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 kosztów kwalifikowanych,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zalicza się ceny nabycia prawa własności gruntów lub prawa ich wieczystego użytkowania.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Przedsiębiorca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na podstawie uchwały zobowiązany jest do zgłoszenia organowi podatkowemu, przed rozpoczęciem prac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 zamiaru 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pisemnej – na formularzu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załączniku nr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wymaganymi załącznikami, najpóźniej 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 po zakończeniu inwestycji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nieprzekraczającym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liczonym od daty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val="0"/>
          <w:strike w:val="0"/>
          <w:color w:val="000000"/>
          <w:sz w:val="24"/>
          <w:u w:val="none" w:color="000000"/>
          <w:vertAlign w:val="baseline"/>
        </w:rPr>
        <w:t>Po zakończeniu realizacji inwestycji, przedsiębiorca, który dokonał zgłoszenia zamiaru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zobowiązany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do dostarczenia Prezydentowi Bytomia:</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zakończeniu inwestycji – na formularzu stanowiącym załącznik nr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dokumentami potwierdzającymi zakończenie realizacji inwestycji,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prawomocnej decyzji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pozwoleniu na użytkowanie obiektu lub dokumentu potwierdzającego przyjęcie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zakończeniu budowy;</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dokumentu potwierdzającego posiadanie tytułu prawnego do nieruchomości;</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rodzaju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poniesionych kosztów kwalifikowanych, potwierdzonych kserokopiami faktur lub innych dokumentów księgowych (z oryginałami do wglądu);</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informacji, których zakres oraz formę przekazywania określa rozporządzenie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 przedstawianych przez 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inną niż de minimis lub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nr 53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 inwestycji, ustalonej według kosztów kwalifikowanych oraz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wniesieniu przez przedsiębiorcę wkładu finansowego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co najmniej 25% kosztów kwalifikowanych, pochodzących ze środków własnych lub zewnętrznych źródeł finansowania,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wyłączeniem publicznych środków finansowych – na formularzu stanowiącym załącznik nr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oświadczenia, że działalność prowadzona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 jest inna niż wskazana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 oraz dokumentu wskazującego rodzaj działalności, jaki będzie realizowany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oświadczenia, że inwestycja została rozpoczęta po zgłoszeniu Prezydentowi Bytomia zamiaru 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b w:val="0"/>
          <w:i w:val="0"/>
          <w:caps w:val="0"/>
          <w:strike w:val="0"/>
          <w:color w:val="000000"/>
          <w:sz w:val="24"/>
          <w:u w:val="none" w:color="000000"/>
          <w:vertAlign w:val="baseline"/>
        </w:rPr>
        <w:t>Przedsiębiorca korzystający ze zwolnienia od podatku od nieruchomości jest zobowiązany:</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każdego roku złożyć oświadczenie, iż inwestycja jest utrzymana – na formularzu, którego wzór stanowi załącznik nr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że ostatnie oświadczenie należy złożyć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upłynęło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od dnia zakończenia realizacji inwestycji początkowej,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MŚP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lata;</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każdego roku podatkowego,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korzystania ze zwolnienia od podatku od nieruchomości na podstawie niniejszej uchwały, przedstawić dokumenty niezbędne do udzielania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 przedstawianych przez 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inną niż de minimis lub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Przedsiębiorca traci prawo do zwolnienia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podatku od nieruchomości za cały okres zwolnienia, gdy:</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spełnił warunków wskazanych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przedstawił organowi podatkowemu nieprawdziwe oświadczenie lub informacje co do spełnienia warunków, od których uzależnione jest zwolnienie od podatku;</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nie przedstawił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organowi podatkowemu dokumentów,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Przedsiębiorca, który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dopełnił obowiązku określonego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 traci możliwość korzystania ze zwolnienia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podatkowym,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złożył wymaganych dokumentów.</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Przedsiębiorca jest zobowiązany powiadomić pisemnie organ udzielający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utracie prawa do zwolnienia od podatku od nieruchomości lub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okolicznościach mających wpływ na wielkość udzielanej pomocy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wystąpienia tych okoliczności.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przypadku utraty prawa do zwolnienia, przedsiębiorca zobowiązany jest do zapłaty podatku od nieruchomości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odsetkami za cały okres,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korzystał ze zwolnienia,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procedurą określoną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przepisach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1997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Ordynacja podatkowa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622).</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przypadku otrzymania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trakcie roku pomocy publicznej ponad dopuszczalną intensywność, przedsiębiorca jest zobowiązany do zwrotu nadwyżki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do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danego roku podatkowego poprzez zapłatę podatku od nieruchomości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odsetkami,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b w:val="0"/>
          <w:i w:val="0"/>
          <w:caps w:val="0"/>
          <w:strike w:val="0"/>
          <w:color w:val="000000"/>
          <w:sz w:val="24"/>
          <w:u w:val="none" w:color="000000"/>
          <w:vertAlign w:val="baseline"/>
        </w:rPr>
        <w:t>Uchwała obowiązuje 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że prawa do zwolnienia nabyte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czasie obowiązywania uchwały, trwają przez okres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niej przewidziany.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b w:val="0"/>
          <w:i w:val="0"/>
          <w:caps w:val="0"/>
          <w:strike w:val="0"/>
          <w:color w:val="000000"/>
          <w:sz w:val="24"/>
          <w:u w:val="none" w:color="000000"/>
          <w:vertAlign w:val="baseline"/>
        </w:rPr>
        <w:t>Traci moc uchwała nr II/17/24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maja 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zwolnień od podatku od nieruchomości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ramach regionalnej pomocy inwestycyjnej na wspieranie inwestycji początkowej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tworzenie 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tą inwestycją na terenie miasta Bytomia (Dz. Urz. Woj. Śl.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4101).</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12.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13.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40"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Grzegorz Nowak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t>Załącznik  nr  1 do uchwały</w:t>
      </w:r>
      <w:r>
        <w:rPr>
          <w:rFonts w:ascii="Arial" w:eastAsia="Arial" w:hAnsi="Arial" w:cs="Arial"/>
          <w:b w:val="0"/>
          <w:i w:val="0"/>
          <w:caps w:val="0"/>
          <w:strike w:val="0"/>
          <w:color w:val="000000"/>
          <w:sz w:val="24"/>
          <w:u w:val="none" w:color="000000"/>
          <w:vertAlign w:val="baseline"/>
        </w:rPr>
        <w:t xml:space="preserve">  nr  XXXIV/299/26</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22 czerwca 2026 r.</w:t>
      </w:r>
      <w:r>
        <w:rPr>
          <w:rFonts w:ascii="Arial" w:eastAsia="Arial" w:hAnsi="Arial" w:cs="Arial"/>
          <w:b w:val="0"/>
          <w:i w:val="0"/>
          <w:caps w:val="0"/>
          <w:strike w:val="0"/>
          <w:color w:val="000000"/>
          <w:sz w:val="24"/>
          <w:u w:val="none" w:color="000000"/>
          <w:vertAlign w:val="baseline"/>
        </w:rPr>
        <w:br/>
      </w:r>
      <w:hyperlink r:id="rId6" w:history="1">
        <w:r>
          <w:rPr>
            <w:rStyle w:val="Hyperlink"/>
            <w:rFonts w:ascii="Arial" w:eastAsia="Arial" w:hAnsi="Arial" w:cs="Arial"/>
            <w:b w:val="0"/>
            <w:i w:val="0"/>
            <w:caps w:val="0"/>
            <w:strike w:val="0"/>
            <w:color w:val="000000"/>
            <w:sz w:val="24"/>
            <w:u w:val="none" w:color="000000"/>
            <w:vertAlign w:val="baseline"/>
          </w:rPr>
          <w:t>Zalacznik1.pdf</w:t>
        </w:r>
      </w:hyperlink>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7"/>
          <w:endnotePr>
            <w:numFmt w:val="decimal"/>
          </w:endnotePr>
          <w:type w:val="nextPage"/>
          <w:pgSz w:w="11906" w:h="16838"/>
          <w:pgMar w:top="1417" w:right="1020" w:bottom="992" w:left="1020" w:header="708" w:footer="708" w:gutter="0"/>
          <w:cols w:space="708"/>
          <w:docGrid w:linePitch="360"/>
        </w:sectPr>
      </w:pPr>
      <w:r>
        <w:t>Załącznik  nr  2 do uchwały</w:t>
      </w:r>
      <w:r>
        <w:rPr>
          <w:rFonts w:ascii="Arial" w:eastAsia="Arial" w:hAnsi="Arial" w:cs="Arial"/>
          <w:b w:val="0"/>
          <w:i w:val="0"/>
          <w:caps w:val="0"/>
          <w:strike w:val="0"/>
          <w:color w:val="000000"/>
          <w:sz w:val="24"/>
          <w:u w:val="none" w:color="000000"/>
          <w:vertAlign w:val="baseline"/>
        </w:rPr>
        <w:t xml:space="preserve">  nr  XXXIV/299/26</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22 czerwca 2026 r.</w:t>
      </w:r>
      <w:r>
        <w:rPr>
          <w:rFonts w:ascii="Arial" w:eastAsia="Arial" w:hAnsi="Arial" w:cs="Arial"/>
          <w:b w:val="0"/>
          <w:i w:val="0"/>
          <w:caps w:val="0"/>
          <w:strike w:val="0"/>
          <w:color w:val="000000"/>
          <w:sz w:val="24"/>
          <w:u w:val="none" w:color="000000"/>
          <w:vertAlign w:val="baseline"/>
        </w:rPr>
        <w:br/>
      </w:r>
      <w:hyperlink r:id="rId8" w:history="1">
        <w:r>
          <w:rPr>
            <w:rStyle w:val="Hyperlink"/>
            <w:rFonts w:ascii="Arial" w:eastAsia="Arial" w:hAnsi="Arial" w:cs="Arial"/>
            <w:b w:val="0"/>
            <w:i w:val="0"/>
            <w:caps w:val="0"/>
            <w:strike w:val="0"/>
            <w:color w:val="000000"/>
            <w:sz w:val="24"/>
            <w:u w:val="none" w:color="000000"/>
            <w:vertAlign w:val="baseline"/>
          </w:rPr>
          <w:t>Zalacznik2.pdf</w:t>
        </w:r>
      </w:hyperlink>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9"/>
          <w:endnotePr>
            <w:numFmt w:val="decimal"/>
          </w:endnotePr>
          <w:type w:val="nextPage"/>
          <w:pgSz w:w="11906" w:h="16838"/>
          <w:pgMar w:top="1417" w:right="1020" w:bottom="992" w:left="1020" w:header="708" w:footer="708" w:gutter="0"/>
          <w:cols w:space="708"/>
          <w:docGrid w:linePitch="360"/>
        </w:sectPr>
      </w:pPr>
      <w:r>
        <w:t>Załącznik  nr  3 do uchwały</w:t>
      </w:r>
      <w:r>
        <w:rPr>
          <w:rFonts w:ascii="Arial" w:eastAsia="Arial" w:hAnsi="Arial" w:cs="Arial"/>
          <w:b w:val="0"/>
          <w:i w:val="0"/>
          <w:caps w:val="0"/>
          <w:strike w:val="0"/>
          <w:color w:val="000000"/>
          <w:sz w:val="24"/>
          <w:u w:val="none" w:color="000000"/>
          <w:vertAlign w:val="baseline"/>
        </w:rPr>
        <w:t xml:space="preserve">  nr  XXXIV/299/26</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22 czerwca 2026 r.</w:t>
      </w:r>
      <w:r>
        <w:rPr>
          <w:rFonts w:ascii="Arial" w:eastAsia="Arial" w:hAnsi="Arial" w:cs="Arial"/>
          <w:b w:val="0"/>
          <w:i w:val="0"/>
          <w:caps w:val="0"/>
          <w:strike w:val="0"/>
          <w:color w:val="000000"/>
          <w:sz w:val="24"/>
          <w:u w:val="none" w:color="000000"/>
          <w:vertAlign w:val="baseline"/>
        </w:rPr>
        <w:br/>
      </w:r>
      <w:hyperlink r:id="rId10" w:history="1">
        <w:r>
          <w:rPr>
            <w:rStyle w:val="Hyperlink"/>
            <w:rFonts w:ascii="Arial" w:eastAsia="Arial" w:hAnsi="Arial" w:cs="Arial"/>
            <w:b w:val="0"/>
            <w:i w:val="0"/>
            <w:caps w:val="0"/>
            <w:strike w:val="0"/>
            <w:color w:val="000000"/>
            <w:sz w:val="24"/>
            <w:u w:val="none" w:color="000000"/>
            <w:vertAlign w:val="baseline"/>
          </w:rPr>
          <w:t>Zalacznik3.pdf</w:t>
        </w:r>
      </w:hyperlink>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11"/>
          <w:endnotePr>
            <w:numFmt w:val="decimal"/>
          </w:endnotePr>
          <w:type w:val="nextPage"/>
          <w:pgSz w:w="11906" w:h="16838"/>
          <w:pgMar w:top="1417" w:right="1020" w:bottom="992" w:left="1020" w:header="708" w:footer="708" w:gutter="0"/>
          <w:cols w:space="708"/>
          <w:docGrid w:linePitch="360"/>
        </w:sectPr>
      </w:pPr>
      <w:r>
        <w:t>Załącznik  nr  4 do uchwały</w:t>
      </w:r>
      <w:r>
        <w:rPr>
          <w:rFonts w:ascii="Arial" w:eastAsia="Arial" w:hAnsi="Arial" w:cs="Arial"/>
          <w:b w:val="0"/>
          <w:i w:val="0"/>
          <w:caps w:val="0"/>
          <w:strike w:val="0"/>
          <w:color w:val="000000"/>
          <w:sz w:val="24"/>
          <w:u w:val="none" w:color="000000"/>
          <w:vertAlign w:val="baseline"/>
        </w:rPr>
        <w:t xml:space="preserve">  nr  XXXIV/299/26</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22 czerwca 2026 r.</w:t>
      </w:r>
      <w:r>
        <w:rPr>
          <w:rFonts w:ascii="Arial" w:eastAsia="Arial" w:hAnsi="Arial" w:cs="Arial"/>
          <w:b w:val="0"/>
          <w:i w:val="0"/>
          <w:caps w:val="0"/>
          <w:strike w:val="0"/>
          <w:color w:val="000000"/>
          <w:sz w:val="24"/>
          <w:u w:val="none" w:color="000000"/>
          <w:vertAlign w:val="baseline"/>
        </w:rPr>
        <w:br/>
      </w:r>
      <w:hyperlink r:id="rId12" w:history="1">
        <w:r>
          <w:rPr>
            <w:rStyle w:val="Hyperlink"/>
            <w:rFonts w:ascii="Arial" w:eastAsia="Arial" w:hAnsi="Arial" w:cs="Arial"/>
            <w:b w:val="0"/>
            <w:i w:val="0"/>
            <w:caps w:val="0"/>
            <w:strike w:val="0"/>
            <w:color w:val="000000"/>
            <w:sz w:val="24"/>
            <w:u w:val="none" w:color="000000"/>
            <w:vertAlign w:val="baseline"/>
          </w:rPr>
          <w:t>Zalacznik4.pdf</w:t>
        </w:r>
      </w:hyperlink>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Niniejsza uchwała przewiduje możliwość udzielania przedsiębiorcom pomocy publicznej w formie zwolnienia od podatku od nieruchomości na warunkach określonych w uchwale oraz w rozporządzeniu Rady Ministrów z dnia 9 stycznia 2015 r. Ze zwolnienia od podatku skorzystają przedsiębiorcy, którzy na terenie miasta Bytomia zrealizują inwestycję początkową.</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Uchwała daje przedsiębiorcom możliwość zmniejszenia kosztów prowadzonej działalności. Zmniejszenie obciążeń podatkowych poprzez zwolnienie od podatku od nieruchomości ma na celu poprawę atrakcyjności Bytomia jako miejsca prowadzenia działalności gospodarczej oraz zachęcenie potencjalnych inwestorów do realizacji nowych zamierzeń gospodarczych.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Niniejsza uchwała nie podlega notyfikacji Komisji Europejskiej, jak również nie wymaga uzyskania opinii Prezesa Urzędu Ochrony Konkurencji i Konsumentów. Uchwała, po jej podjęciu, będzie wymagała przesłania do ewidencji Prezesa UOKiK, w terminie 30 dni od dnia wejścia w życie – art. 8 ust. 2 ustawy z dnia 30 kwietnia 2004 r. o postępowaniu w sprawach dotyczących pomocy publicznej (Dz. U. z 2026 r. poz. 500).</w:t>
      </w:r>
    </w:p>
    <w:sectPr>
      <w:footerReference w:type="default" r:id="rId13"/>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BE58024B-9182-44FB-9938-20EF02BCA5CE.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Zalacznik3.pdf" TargetMode="External" /><Relationship Id="rId11" Type="http://schemas.openxmlformats.org/officeDocument/2006/relationships/footer" Target="footer5.xml" /><Relationship Id="rId12" Type="http://schemas.openxmlformats.org/officeDocument/2006/relationships/hyperlink" Target="Zalacznik4.pdf" TargetMode="External" /><Relationship Id="rId13" Type="http://schemas.openxmlformats.org/officeDocument/2006/relationships/footer" Target="footer6.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hyperlink" Target="Zalacznik2.pdf" TargetMode="Externa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XXXIV/299/26 z dnia 22 czerwca 2026 r.</dc:title>
  <dc:subject>w sprawie zwolnienia od podatku od nieruchomości w^ramach regionalnej pomocy inwestycyjnej na wspieranie inwestycji początkowej na^terenie miasta Bytomia</dc:subject>
  <dc:creator>asteuer</dc:creator>
  <cp:lastModifiedBy>asteuer</cp:lastModifiedBy>
  <cp:revision>1</cp:revision>
  <dcterms:created xsi:type="dcterms:W3CDTF">2026-06-25T14:46:14Z</dcterms:created>
  <dcterms:modified xsi:type="dcterms:W3CDTF">2026-06-25T14:46:14Z</dcterms:modified>
  <cp:category>Akt prawny</cp:category>
</cp:coreProperties>
</file>