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XLIII/589/21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LI/627/17 Rady Miejskiej w Bytomiu w sprawie określenia zasad i trybu umarzania, odraczania lub rozkładania na raty należności pieniężnych o charakterze cywilnoprawnym miasta Bytomia oraz jego jednostek organizacyjnych, warunków dopuszczalności pomocy publicznej, w których ulga będzie stanowić pomoc publiczną oraz wskazania organów uprawnionych do udzielenia przedmiotowych ulg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LI/627/17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trybu umarzania, odraczania lub rozkładania na raty należności pieniężnych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charakterze cywilnoprawnym miasta Bytomia oraz jego jednostek organizacyjnych, warunków dopuszczalności pomocy publicznej,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ulga będzie stanowić pomoc publiczną oraz wskazania organów uprawnionych do udzielenia przedmiotowych ulg, §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 </w:t>
            </w:r>
            <w:r>
              <w:t> </w:t>
            </w:r>
            <w:r>
              <w:t> </w:t>
            </w:r>
            <w:r>
              <w:t> </w:t>
            </w:r>
            <w:r>
              <w:t>„§</w:t>
            </w:r>
            <w:r>
              <w:t> </w:t>
            </w:r>
            <w:r>
              <w:t>14.</w:t>
            </w:r>
            <w:r>
              <w:t> </w:t>
            </w:r>
            <w:r>
              <w:t>Uchwała wchodzi w</w:t>
            </w:r>
            <w:r>
              <w:t> </w:t>
            </w:r>
            <w:r>
              <w:t>życie po upływie 14</w:t>
            </w:r>
            <w:r>
              <w:t> </w:t>
            </w:r>
            <w:r>
              <w:t>dni od dnia ogłoszenia w</w:t>
            </w:r>
            <w:r>
              <w:t> </w:t>
            </w:r>
            <w:r>
              <w:t>Dzienniku Urzędowym Województwa Śląskiego i</w:t>
            </w:r>
            <w:r>
              <w:t> </w:t>
            </w:r>
            <w:r>
              <w:t>obowiązuje do dnia 30</w:t>
            </w:r>
            <w:r>
              <w:t> </w:t>
            </w:r>
            <w:r>
              <w:t>czerwca 2024</w:t>
            </w:r>
            <w:r>
              <w:t> </w:t>
            </w:r>
            <w:r>
              <w:t>r.”.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dostosowuje treść do aktualnie obowiązujących przepisów w związku ze zmianami wprowadzonymi przez art. 1 Rozporządzenia Komisji (UE) 2020/972 z dnia 2 lipca 2020 r. zmieniającego rozporządzenie (UE) nr 1407/2013 w odniesieniu do jego przedłużenia oraz zmieniającego rozporządzenie (UE) nr 651/2014 w odniesieniu do jego przedłużenia i odpowiednich dostosowań (Dz.U. L 215 z 7.07.2020), który stanowi, że w art. 8 rozporządzenia (UE) nr 1407/2013 akapit drugi otrzymuje brzmienie: „Niniejsze rozporządzenie stosuje się do dnia 31 grudnia 2023 r.”.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Treść przedmiotowej uchwały skorelowana jest z aktualnymi regulacjami prawnymi zawartymi w rozporządzeniu Komisji (UE) nr 1407/2013 z dnia 18 grudnia 2013 r. w sprawie stosowania art. 107 i 108 Traktatu o funkcjonowaniu Unii Europejskiej do pomocy de minimis (Dz.U. L 352 z 24.12.2013), którego obowiązywanie zostało przez Komisję Europejską ww. rozporządzeniem przedłużone do dnia 31 grudnia 2023 r. Natomiast art. 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4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rozporządzenia Komisji (UE) nr 1407/2013 z dnia 18 grudnia 2013 r. stanowi, że po upływie okresu stosowania niniejszego rozporządzenia wszelkie programy pomocy de minimis spełniające warunki określone w tym rozporządzeniu pozostają objęte niniejszym rozporządzeniem przez kolejne sześć miesięcy. W związku z powyższym, uchwała obowiązuje do dnia 30 czerwca 2024 r.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19166A1C-3D15-4EDD-8153-2BA29EE051CA.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19166A1C-3D15-4EDD-8153-2BA29EE051CA.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XLIII/589/21 z dnia 24 maja 2021 r.</dc:title>
  <dc:subject>zmieniająca uchwałę nr LI/627/17 Rady Miejskiej w^Bytomiu w^sprawie określenia zasad i^trybu umarzania, odraczania lub rozkładania na raty należności pieniężnych o^charakterze cywilnoprawnym miasta Bytomia oraz jego jednostek organizacyjnych, warunków dopuszczalności pomocy publicznej, w^których ulga będzie stanowić pomoc publiczną oraz wskazania organów uprawnionych do udzielenia przedmiotowych ulg</dc:subject>
  <dc:creator>masocha</dc:creator>
  <cp:lastModifiedBy>masocha</cp:lastModifiedBy>
  <cp:revision>1</cp:revision>
  <dcterms:created xsi:type="dcterms:W3CDTF">2021-05-25T09:46:21Z</dcterms:created>
  <dcterms:modified xsi:type="dcterms:W3CDTF">2021-05-25T09:46:21Z</dcterms:modified>
  <cp:category>Akt prawny</cp:category>
</cp:coreProperties>
</file>