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01F0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01F03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D01F03">
      <w:pPr>
        <w:keepNext/>
        <w:spacing w:after="480" w:line="276" w:lineRule="auto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 xml:space="preserve">Gminy Bytom – etap VII – dla terenu położonego w rejonie ulic: Strzelców Bytomskich </w:t>
      </w:r>
      <w:r>
        <w:rPr>
          <w:b/>
        </w:rPr>
        <w:t>i Księdza Prymasa Stefana Wyszyńskiego</w:t>
      </w:r>
    </w:p>
    <w:p w:rsidR="00A77B3E" w:rsidRDefault="00D01F03">
      <w:pPr>
        <w:keepLines/>
        <w:spacing w:before="120" w:after="120" w:line="276" w:lineRule="auto"/>
        <w:ind w:firstLine="227"/>
      </w:pPr>
      <w:r>
        <w:t>Na podstawie art. 18 ust. 2 pkt 5, art. 40 ust. 1 i art. 41 ust. 1 ustawy z dnia 8 marca 1990 r. o samorządzie gminnym (Dz. U. z 2026 r. poz. 662) oraz art. 3 ust. 1, art. 20 ust. 1 ustawy z dnia 27 marca 2003 r. o pl</w:t>
      </w:r>
      <w:r>
        <w:t>anowaniu i zagospodarowaniu przestrzennym (Dz. U. z 2026 r. poz. 538) i art. 67 ust. 3 ustawy z dnia 7 lipca 2023 r o zmianie ustawy o planowaniu i zagospodarowaniu przestrzennym oraz niektórych innych ustaw (Dz. U. z 2023 r. poz. 1688), w związku z uchwał</w:t>
      </w:r>
      <w:r>
        <w:t>ą nr LXXII/915/22 Rady Miejskiej w Bytomiu z dnia 19 grudnia 2022 r. w sprawie przystąpienia do sporządzenia miejscowego planu zagospodarowania przestrzennego Gminy Bytom stwierdza się, że miejscowy plan zagospodarowania przestrzennego Gminy Bytom – etap V</w:t>
      </w:r>
      <w:r>
        <w:t>II – dla terenu położonego w rejonie ulic: Strzelców Bytomskich i Księdza Prymasa Stefana Wyszyńskiego, nie narusza ustaleń „Studium uwarunkowań i kierunków zagospodarowania przestrzennego Gminy Bytom”, przyjętego uchwałą nr XVI/204/11 Rady Miejskiej w Byt</w:t>
      </w:r>
      <w:r>
        <w:t>omiu z dnia 24 sierpnia 2011 r., z późn. zm. i uchwala się, co następuje:</w:t>
      </w:r>
    </w:p>
    <w:p w:rsidR="00A77B3E" w:rsidRDefault="00D01F03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ogólne</w:t>
      </w:r>
    </w:p>
    <w:p w:rsidR="00A77B3E" w:rsidRDefault="00D01F03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 miejscowy plan zagospodarowania przestrzennego Gminy Bytom – etap VII – dla terenu położonego w rejonie ulic: Strzelców Bytomskich i Księdza Pryma</w:t>
      </w:r>
      <w:r>
        <w:t>sa Stefana Wyszyńskiego, zwany dalej „planem”, składają się ustalenia zawarte w treści niniejszej uchwały wraz z następującymi załącznikami:</w:t>
      </w:r>
    </w:p>
    <w:p w:rsidR="00A77B3E" w:rsidRDefault="00D01F03">
      <w:pPr>
        <w:spacing w:before="120" w:after="120" w:line="276" w:lineRule="auto"/>
        <w:ind w:left="340" w:hanging="227"/>
      </w:pPr>
      <w:r>
        <w:t>1) </w:t>
      </w:r>
      <w:r>
        <w:t>załącznik nr 1 – rysunek planu, stanowiący część graficzną ustaleń planu, wykonany na kopii mapy zasadniczej w s</w:t>
      </w:r>
      <w:r>
        <w:t>kali 1:1000;</w:t>
      </w:r>
    </w:p>
    <w:p w:rsidR="00A77B3E" w:rsidRDefault="00D01F03">
      <w:pPr>
        <w:spacing w:before="120" w:after="120" w:line="276" w:lineRule="auto"/>
        <w:ind w:left="340" w:hanging="227"/>
      </w:pPr>
      <w:r>
        <w:t>2) </w:t>
      </w:r>
      <w:r>
        <w:t>załącznik nr 2 – rozstrzygnięcie o sposobie rozpatrzenia nieuwzględnionych uwag do projektu planu;</w:t>
      </w:r>
    </w:p>
    <w:p w:rsidR="00A77B3E" w:rsidRDefault="00D01F03">
      <w:pPr>
        <w:spacing w:before="120" w:after="120" w:line="276" w:lineRule="auto"/>
        <w:ind w:left="340" w:hanging="227"/>
      </w:pPr>
      <w:r>
        <w:t>3) </w:t>
      </w:r>
      <w:r>
        <w:t>załącznik nr 3 – rozstrzygnięcie o sposobie realizacji, zapisanych w planie, inwestycji z zakresu infrastruktury technicznej, które należą</w:t>
      </w:r>
      <w:r>
        <w:t xml:space="preserve"> do zadań własnych gminy oraz zasadach ich finansowania, zgodnie z przepisami o finansach publicznych;</w:t>
      </w:r>
    </w:p>
    <w:p w:rsidR="00A77B3E" w:rsidRDefault="00D01F03">
      <w:pPr>
        <w:spacing w:before="120" w:after="120" w:line="276" w:lineRule="auto"/>
        <w:ind w:left="340" w:hanging="227"/>
      </w:pPr>
      <w:r>
        <w:t>4) </w:t>
      </w:r>
      <w:r>
        <w:t>załącznik nr 4 – dane przestrzenne dla planu.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Plan obejmuje obszar położony w granicach określonych na rysunku planu.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niniejszej uchw</w:t>
      </w:r>
      <w:r>
        <w:rPr>
          <w:color w:val="000000"/>
          <w:u w:color="000000"/>
        </w:rPr>
        <w:t>ały zawarta jest w następujących rozdziałach: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Rozdział 1 – Przepisy ogólne;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Rozdział 2 – Zasady ochrony i kształtowania ładu przestrzennego;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Rozdział 3 – Zasady ochrony środowiska, przyrody i krajobrazu;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Rozdział 4 – Zasady kształtowania </w:t>
      </w:r>
      <w:r>
        <w:rPr>
          <w:color w:val="000000"/>
          <w:u w:color="000000"/>
        </w:rPr>
        <w:t>krajobrazu;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Rozdział 5 – Zasady ochrony dziedzictwa kulturowego i zabytków, w tym krajobrazów kulturowych oraz dóbr kultury współczesnej;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Rozdział 6 – Wymagania wynikające z potrzeb kształtowania przestrzeni publicznych;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Rozdział 7 – Granice i spo</w:t>
      </w:r>
      <w:r>
        <w:rPr>
          <w:color w:val="000000"/>
          <w:u w:color="000000"/>
        </w:rPr>
        <w:t>soby zagospodarowania terenów lub obiektów podlegających ochronie, na podstawie odrębnych przepisów, terenów górniczych, a także obszarów szczególnego zagrożenia powodzią, obszarów osuwania się mas ziemnych, krajobrazów priorytetowych określonych w audycie</w:t>
      </w:r>
      <w:r>
        <w:rPr>
          <w:color w:val="000000"/>
          <w:u w:color="000000"/>
        </w:rPr>
        <w:t xml:space="preserve"> krajobrazowym oraz w planach zagospodarowania przestrzennego województwa;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Rozdział 8 – Szczegółowe zasady i warunki scalania i podziału nieruchomości objętych planem miejscowym, w tym parametry działek uzyskiwanych w wyniku scalania i podziału </w:t>
      </w:r>
      <w:r>
        <w:rPr>
          <w:color w:val="000000"/>
          <w:u w:color="000000"/>
        </w:rPr>
        <w:t>nieruchomości;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Rozdział 9 – Szczególne warunki zagospodarowania terenów oraz ograniczenia w ich użytkowaniu, w tym zakaz zabudowy;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Rozdział 10 – Zasady modernizacji, rozbudowy i budowy systemów komunikacji i infrastruktury technicznej;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Rozdział </w:t>
      </w:r>
      <w:r>
        <w:rPr>
          <w:color w:val="000000"/>
          <w:u w:color="000000"/>
        </w:rPr>
        <w:t>11 – Sposób i termin tymczasowego zagospodarowania, urządzania i użytkowania terenów;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Rozdział 12 – Stawki procentowe, na podstawie których ustala się opłatę, o której mowa w art. 36 ust. 4 ustawy o planowaniu i zagospodarowaniu przestrzennym;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Rozd</w:t>
      </w:r>
      <w:r>
        <w:rPr>
          <w:color w:val="000000"/>
          <w:u w:color="000000"/>
        </w:rPr>
        <w:t>ział 13 – Ustalenia szczegółowe dla terenów o różnym przeznaczeniu lub różnych zasadach zagospodarowania;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Rozdział 14 – Przepisy końcowe.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Rysunek planu zawiera następujące oznaczenia będące ustaleniami planu: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miejsco</w:t>
      </w:r>
      <w:r>
        <w:rPr>
          <w:color w:val="000000"/>
          <w:u w:color="000000"/>
        </w:rPr>
        <w:t>wym planem zagospodarowania przestrzennego;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linie rozgraniczające tereny o różnym przeznaczeniu lub różnych zasadach zagospodarowania;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symbole cyfrowo-literowe określające przeznaczenie terenów wyznaczonych liniami rozgraniczającymi: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MN – teren za</w:t>
      </w:r>
      <w:r>
        <w:rPr>
          <w:color w:val="000000"/>
          <w:u w:color="000000"/>
        </w:rPr>
        <w:t>budowy mieszkaniowej jednorodzinnej,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MNS – teren zabudowy mieszkaniowej jednorodzinnej szeregowej i grupowej,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MN-U – teren zabudowy mieszkaniowej jednorodzinnej lub usług,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MN-KOG – teren zabudowy mieszkaniowej jednorodzinnej lub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 – ter</w:t>
      </w:r>
      <w:r>
        <w:rPr>
          <w:color w:val="000000"/>
          <w:u w:color="000000"/>
        </w:rPr>
        <w:t>en usług,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UR – teren usług kultu religijnego,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g) </w:t>
      </w:r>
      <w:r>
        <w:rPr>
          <w:color w:val="000000"/>
          <w:u w:color="000000"/>
        </w:rPr>
        <w:t>U-INS – teren usług lub stacji paliw płynnych,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KDL – teren drogi lokalnej,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KDD – teren drogi dojazdowej,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KR – teren komunikacji drogowej wewnętrznej,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KOG – 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 xml:space="preserve">WS-ZP – teren wód </w:t>
      </w:r>
      <w:r>
        <w:rPr>
          <w:color w:val="000000"/>
          <w:u w:color="000000"/>
        </w:rPr>
        <w:t>powierzchniowych śródlądowych lub zieleni urządzonej,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ZN – teren zieleni naturalnej,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ZP – teren zieleni urządzonej,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CC – teren cmentarza czynnego;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nieprzekraczalne linie zabudowy;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budynki o wartościach kulturowych ujęte w gminnej ewidencji </w:t>
      </w:r>
      <w:r>
        <w:rPr>
          <w:color w:val="000000"/>
          <w:u w:color="000000"/>
        </w:rPr>
        <w:t>zabytków i objęte ochroną w planie;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obiekty małej architektury o wartościach kulturowych ujęte w gminnej ewidencji zabytków;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strefa oddziaływania napowietrznej linii elektroenergetycznej 110 kV.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Rysunek planu zawiera następujące oznaczenia lub inf</w:t>
      </w:r>
      <w:r>
        <w:rPr>
          <w:color w:val="000000"/>
          <w:u w:color="000000"/>
        </w:rPr>
        <w:t>ormacje wynikające z przepisów odrębnych: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strefy w odległości 50,0 m, 150,0 m i 500,0 m od granicy istniejących cmentarzy;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granica i obszar Specjalnego Obszaru Ochrony Siedlisk Natura 2000 „Podziemia Tarnogórsko-Bytomskie”;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granica i obszar zespoł</w:t>
      </w:r>
      <w:r>
        <w:rPr>
          <w:color w:val="000000"/>
          <w:u w:color="000000"/>
        </w:rPr>
        <w:t>u przyrodniczo-krajobrazowego „Suchogórski Labirynt Skalny”;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krajobraz priorytetowy – Segiet;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proponowana strefa ochrony pośredniej  ujęcia wody podziemnej studni S-2 przy                     ul. Blachówka w Bytomiu;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cały obszar planu znajduje się</w:t>
      </w:r>
      <w:r>
        <w:rPr>
          <w:color w:val="000000"/>
          <w:u w:color="000000"/>
        </w:rPr>
        <w:t xml:space="preserve"> w granicach Głównego Zbiornika Wód Podziemnych                   nr 330 – Zbiornik Gliwice wraz z ustanowionym obszarem ochronnym;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cały obszar planu znajduje się w granicach strefy ochronnej terenu zamkniętego resortu obrony narodowej;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obiekt budowl</w:t>
      </w:r>
      <w:r>
        <w:rPr>
          <w:color w:val="000000"/>
          <w:u w:color="000000"/>
        </w:rPr>
        <w:t>any o wartościach kulturowych wpisany do Rejestru zabytków ruchomych.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Rysunek planu, poza treścią mapy zasadniczej, zawiera następujące informacje niebędące ustaleniami planu: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administracyjna miasta;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granice i numery działek ewidencyjnych;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granica strefy buforowej od obszaru wpisanego na Listę Światowego Dziedzictwa UNESCO „Kopalnie rud ołowiu, srebra i cynku w Tarnowskich Górach oraz system gospodarowania wodami podziemnymi”;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orientacyjny zasięg płytkich wód gruntowych o głębokości d</w:t>
      </w:r>
      <w:r>
        <w:rPr>
          <w:color w:val="000000"/>
          <w:u w:color="000000"/>
        </w:rPr>
        <w:t>o 1,0 m p. p. t.;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zlikwidowane szyby i szybiki porudne;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orientacyjny zasięg zakończonej płytkiej eksploatacji rudnej;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napowietrzna linia elektroenergetyczna 110 kV.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Ilekroć w dalszych ustaleniach niniejszej uchwały jest mowa o: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dachu </w:t>
      </w:r>
      <w:r>
        <w:rPr>
          <w:color w:val="000000"/>
          <w:u w:color="000000"/>
        </w:rPr>
        <w:t>płaskim – należy przez to rozumieć dach o kącie nachylenia połaci dachowych w stosunku do płaszczyzny poziomej nie większym niż 12°;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działce budowlanej – należy przez to rozumieć działkę, o której mowa w ustawie z dnia 27 marca 2003 r. o planowaniu i za</w:t>
      </w:r>
      <w:r>
        <w:rPr>
          <w:color w:val="000000"/>
          <w:u w:color="000000"/>
        </w:rPr>
        <w:t>gospodarowaniu przestrzennym;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elementach wyposażenia miejskiego – należy przez to rozumieć elementy zagospodarowania takie jak: siedziska, ławki, zegary uliczne, latarnie, lampy oświetleniowe, stojaki rowerowe, pergole, barierki uliczne, słupki i ograni</w:t>
      </w:r>
      <w:r>
        <w:rPr>
          <w:color w:val="000000"/>
          <w:u w:color="000000"/>
        </w:rPr>
        <w:t>czniki parkowania na chodnikach, donice, słupy informacyjno-ogłoszeniowe wykorzystywane przez władze miasta do promocji miasta i informowania mieszkańców o ważnych dla miasta wydarzeniach oraz elementy Systemu Identyfikacji Miejskiej;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garażu zbiorowym –</w:t>
      </w:r>
      <w:r>
        <w:rPr>
          <w:color w:val="000000"/>
          <w:u w:color="000000"/>
        </w:rPr>
        <w:t xml:space="preserve"> należy przez to rozumieć zespół przylegających do siebie garaży jednokondygnacyjnych o jednolitej formie architektonicznej, zapewniający minimum                   5 stanowisk postojowych;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istniejącej zabudowie – należy przez to rozumieć zabudowę wznies</w:t>
      </w:r>
      <w:r>
        <w:rPr>
          <w:color w:val="000000"/>
          <w:u w:color="000000"/>
        </w:rPr>
        <w:t>ioną przed dniem wejścia w życie planu lub taką, dla której do dnia wejścia w życie planu została wydana prawomocna decyzja o pozwoleniu na budowę;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nieprzekraczalnej linii zabudowy – należy przez to rozumieć wyznaczoną na rysunku planu linię ograniczają</w:t>
      </w:r>
      <w:r>
        <w:rPr>
          <w:color w:val="000000"/>
          <w:u w:color="000000"/>
        </w:rPr>
        <w:t>cą część terenu, w obrębie którego możliwe jest wznoszenie: nadziemnych części budynków, budowli nadziemnych spełniających funkcje użytkowe budynków, przy czym dopuszczalne jest wysunięcie poza wyznaczoną linię zabudowy, na odległość nie większą niż 1,3 m,</w:t>
      </w:r>
      <w:r>
        <w:rPr>
          <w:color w:val="000000"/>
          <w:u w:color="000000"/>
        </w:rPr>
        <w:t xml:space="preserve"> elementów nadwieszeń takich jak: nieobudowane balkony, daszki nad wejściami do budynków, gzymsy, wykusze i inne elementy wystroju architektonicznego elewacji, a także, jeśli ustalenia planu nie stanowią inaczej, elementy wejść do budynku oraz grubości doc</w:t>
      </w:r>
      <w:r>
        <w:rPr>
          <w:color w:val="000000"/>
          <w:u w:color="000000"/>
        </w:rPr>
        <w:t>ieplenia w przypadku istniejącego budynku; nieprzekraczalna linia zabudowy nie dotyczy podziemnych części budynków;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obszarze – należy przez to rozumieć cały obszar objęty niniejszym planem;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parametrach i wskaźnikach zabudowy i zagospodarowania: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</w:t>
      </w:r>
      <w:r>
        <w:rPr>
          <w:color w:val="000000"/>
          <w:u w:color="000000"/>
        </w:rPr>
        <w:t>nimalnym wskaźniku powierzchni biologicznie czynnej – należy przez to rozumieć minimalny udział powierzchni biologicznie czynnej, o którym mowa w art. 2 pkt 29 ustawy z dnia 27 marca 2003 r. o planowaniu i zagospodarowaniu przestrzennym – chyba, że z ustal</w:t>
      </w:r>
      <w:r>
        <w:rPr>
          <w:color w:val="000000"/>
          <w:u w:color="000000"/>
        </w:rPr>
        <w:t>eń szczegółowych planu wynika inaczej,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wskaźniku nadziemnej intensywności zabudowy – należy przez to rozumieć nadziemną intensywność zabudowy, o której mowa w art. 2 pkt 32 ustawy z dnia                    27 marca 2003 r. o planowaniu i zagospodarowani</w:t>
      </w:r>
      <w:r>
        <w:rPr>
          <w:color w:val="000000"/>
          <w:u w:color="000000"/>
        </w:rPr>
        <w:t>u przestrzennym,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wskaźniku powierzchni zabudowy – należy przez to rozumieć udział powierzchni zabudowy, o którym mowa w art. 2 pkt 35 ustawy z dnia 27 marca 2003 r. o planowaniu i zagospodarowaniu przestrzennym,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wysokości zabudowy – należy przez to r</w:t>
      </w:r>
      <w:r>
        <w:rPr>
          <w:color w:val="000000"/>
          <w:u w:color="000000"/>
        </w:rPr>
        <w:t>ozumieć wysokość zabudowy, o której mowa w art. 2 pkt 30 ustawy z dnia 27 marca 2003 r. o planowaniu i zagospodarowaniu przestrzennym;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przepisach odrębnych lub przywołanych w ustaleniach planu ustawach i rozporządzeniach – należy przez to rozumieć odpow</w:t>
      </w:r>
      <w:r>
        <w:rPr>
          <w:color w:val="000000"/>
          <w:u w:color="000000"/>
        </w:rPr>
        <w:t>iednie, obowiązujące na dzień uchwalenia niniejszego planu, przepisy ustaw wraz z ich aktami wykonawczymi;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Systemie Identyfikacji Miejskiej – należy przez to rozumieć kompleksowo opracowany dla całego miasta lub dzielnicy system jednolitych stylistyczn</w:t>
      </w:r>
      <w:r>
        <w:rPr>
          <w:color w:val="000000"/>
          <w:u w:color="000000"/>
        </w:rPr>
        <w:t>ie elementów informacyjnych ułatwiających orientację w przestrzeni miasta, składający się z elementów takich jak: tablice z nazwami ulic i ich nośniki, tablice kierujące do istotnych punktów miasta (np. muzea, szpitale itp.), nośniki z planem miasta lub dz</w:t>
      </w:r>
      <w:r>
        <w:rPr>
          <w:color w:val="000000"/>
          <w:u w:color="000000"/>
        </w:rPr>
        <w:t>ielnicy, nośniki informacji o istotnych elementach krajobrazu miejskiego (tj. obiekcie, patronie drogi itp.);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przeznaczeniu – należy przez to rozumieć ustalony planem przeważający sposób zagospodarowania i zabudowy powierzchni działki budowlanej w gran</w:t>
      </w:r>
      <w:r>
        <w:rPr>
          <w:color w:val="000000"/>
          <w:u w:color="000000"/>
        </w:rPr>
        <w:t>icach terenu wyznaczonego liniami rozgraniczającymi;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przeznaczeniu uzupełniającym – należy przez to rozumieć ustalony planem uzupełniający przeznaczenie sposób zagospodarowania i zabudowy, którego udział wynosi nie więcej niż 49% powierzchni działki bu</w:t>
      </w:r>
      <w:r>
        <w:rPr>
          <w:color w:val="000000"/>
          <w:u w:color="000000"/>
        </w:rPr>
        <w:t>dowlanej w granicach terenu wyznaczonego liniami rozgraniczającymi lub może być określony w ustaleniach szczegółowych;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przeznaczeniu wykluczonym – należy przez to rozumieć sposób zagospodarowania i zabudowy terenów, których realizacji zakazuje się w ra</w:t>
      </w:r>
      <w:r>
        <w:rPr>
          <w:color w:val="000000"/>
          <w:u w:color="000000"/>
        </w:rPr>
        <w:t>mach ustalonego w planie rodzaju przeznaczenia lub przeznaczenia uzupełniającego;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terenie – należy przez to rozumieć fragment obszaru planu o ustalonym przeznaczeniu i zasadach zagospodarowania, wyznaczony na rysunku planu liniami rozgraniczającymi i o</w:t>
      </w:r>
      <w:r>
        <w:rPr>
          <w:color w:val="000000"/>
          <w:u w:color="000000"/>
        </w:rPr>
        <w:t>znaczony symbolem cyfrowo-literowym służącym identyfikacji ustaleń w tekście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usługach nieuciążliwych dla zabudowy mieszkaniowej – należy przez to rozumieć działalność usługową obejmującą następujące podgrupy usług: biurowych, fryzjerskich i kosm</w:t>
      </w:r>
      <w:r>
        <w:rPr>
          <w:color w:val="000000"/>
          <w:u w:color="000000"/>
        </w:rPr>
        <w:t>etycznych, handlu detalicznego oraz gabinety lekarskie, terapeutyczne i zajęciowe;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zieleni izolacyjnej – należy przez to rozumieć roślinność o przeważającym składzie gatunków drzew i krzewów, których dojrzałe formy osiągają wysokość nie mniejszą niż 2,</w:t>
      </w:r>
      <w:r>
        <w:rPr>
          <w:color w:val="000000"/>
          <w:u w:color="000000"/>
        </w:rPr>
        <w:t>0 m, ukształtowaną w taki sposób, aby spełniać funkcje całorocznej przesłony wizualnej i bariery akustycznej oraz bariery przed zanieczyszczeniami i hałasem;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17) </w:t>
      </w:r>
      <w:r>
        <w:rPr>
          <w:color w:val="000000"/>
          <w:u w:color="000000"/>
        </w:rPr>
        <w:t>zieleni urządzonej – należy przez to rozumieć ukształtowane w sposób zaplanowany zespoły rośli</w:t>
      </w:r>
      <w:r>
        <w:rPr>
          <w:color w:val="000000"/>
          <w:u w:color="000000"/>
        </w:rPr>
        <w:t>nności składające się z drzew, krzewów i zieleni niskiej wraz z obiektami małej architektury, oczkami wodnymi, urządzeniami rekreacyjnymi oraz ciągami pieszymi i ścieżkami rowerowymi.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użyte w uchwale należy rozumieć zgodnie z defini</w:t>
      </w:r>
      <w:r>
        <w:rPr>
          <w:color w:val="000000"/>
          <w:u w:color="000000"/>
        </w:rPr>
        <w:t>cjami określonymi w przepisach odrębnych.</w:t>
      </w:r>
    </w:p>
    <w:p w:rsidR="00A77B3E" w:rsidRDefault="00D01F0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i kształtowania ładu przestrzennego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Zasady zagospodarowania terenów: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dopuszczenie na całym obszarze planu realizacji elementów zagospodarowania takich jak: infrastruktura </w:t>
      </w:r>
      <w:r>
        <w:rPr>
          <w:color w:val="000000"/>
          <w:u w:color="000000"/>
        </w:rPr>
        <w:t xml:space="preserve">techniczna, urządzenia budowlane, urządzenia sportowo-rekreacyjne, dojazdy, ciągi piesze, pieszo-jezdne i ścieżki rowerowe, zieleń urządzona, zieleń izolacyjna, obiekty małej architektury, elementy Systemu Identyfikacji Miejskiej oraz elementy wyposażenia </w:t>
      </w:r>
      <w:r>
        <w:rPr>
          <w:color w:val="000000"/>
          <w:u w:color="000000"/>
        </w:rPr>
        <w:t>miejskiego, z zachowaniem pozostałych ustaleń planu oraz z uwzględnieniem przepisów odrębnych;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na całym obszarze planu realizacji inwestycji celu publicznego z zakresu łączności publicznej, z uwzględnieniem przepisów Rozdziału 13;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</w:t>
      </w:r>
      <w:r>
        <w:rPr>
          <w:color w:val="000000"/>
          <w:u w:color="000000"/>
        </w:rPr>
        <w:t>czenie na terenach komunikacji drogowej publicznej, o których mowa w § 29-30, realizacji inwestycji celu publicznego z zakresu infrastruktury technicznej, z uwzględnieniem przepisów Rozdziału 13;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dopuszczenie na całym obszarze planu sytuowania budynków </w:t>
      </w:r>
      <w:r>
        <w:rPr>
          <w:color w:val="000000"/>
          <w:u w:color="000000"/>
        </w:rPr>
        <w:t>na działce budowlanej w odległości 1,5 m od granicy działki lub bezpośrednio przy tej granicy, z zachowaniem pozostałych ustaleń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oznaczone na rysunku planu nieprzekraczalne linie zabudowy nie dotyczą związanych z infrastrukturą techniczną i telek</w:t>
      </w:r>
      <w:r>
        <w:rPr>
          <w:color w:val="000000"/>
          <w:u w:color="000000"/>
        </w:rPr>
        <w:t>omunikacyjną: budynków, budowli, obiektów i urządzeń.</w:t>
      </w:r>
    </w:p>
    <w:p w:rsidR="00A77B3E" w:rsidRDefault="00D01F03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środowiska, przyrody i krajobrazu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zakresie oddziaływania na środowisko: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przedsięwzięć stwarzających zagrożenie dla życia lub zdrowia ludzi, a w s</w:t>
      </w:r>
      <w:r>
        <w:rPr>
          <w:color w:val="000000"/>
          <w:u w:color="000000"/>
        </w:rPr>
        <w:t>zczególności przedsięwzięć mogących spowodować ryzyko wystąpienia poważnych awarii;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przedsięwzięć mogących zawsze lub potencjalnie znacząco oddziaływać na środowisko, w rozumieniu przepisów rozporządzenia Rady Ministrów z dnia 10 wrześn</w:t>
      </w:r>
      <w:r>
        <w:rPr>
          <w:color w:val="000000"/>
          <w:u w:color="000000"/>
        </w:rPr>
        <w:t>ia 2019 r. w sprawie przedsięwzięć mogących znacząco oddziaływać na środowisko, z wyłączeniem przedsięwzięć związanych z realizacją i remontami: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dróg publicznych,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infrastruktury technicznej,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inwestycji celu publicznego z zakresu łączności publiczn</w:t>
      </w:r>
      <w:r>
        <w:rPr>
          <w:color w:val="000000"/>
          <w:u w:color="000000"/>
        </w:rPr>
        <w:t>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podziemnego wydobycia kopalin,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poszukiwania i rozpoznawania złóż kopalin,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zabudowy mieszkaniowej wraz z towarzyszącą jej infrastrukturą,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stacji paliw płynnych;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zasięg oddziaływania na środowisko działalności prowadzonej na poszczególnych</w:t>
      </w:r>
      <w:r>
        <w:rPr>
          <w:color w:val="000000"/>
          <w:u w:color="000000"/>
        </w:rPr>
        <w:t xml:space="preserve"> terenach nie może przekraczać granicy nieruchomości, do której prowadzący działalność posiada tytuł prawny.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ochrony przed hałasem: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wskazuje się tereny należące do poszczególnych rodzajów terenów, dla których określono dopuszczalne poziomy</w:t>
      </w:r>
      <w:r>
        <w:rPr>
          <w:color w:val="000000"/>
          <w:u w:color="000000"/>
        </w:rPr>
        <w:t xml:space="preserve"> hałasu zgodnie z ustawą z dnia 27 kwietnia 2001 r. Prawo ochrony środowiska: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tereny oznaczone symbolami: 1MN, 2MN, 3MN, 4MN, 5MN, 6MN, 7MN, 8MN, 9MN, 10MN, 11MN, 12MN, 13MN, 14MN, 15MN, 16MN, 17MN, 18MN, 19MN, 20MN, 21MN, 22MN, 23MN, 24MN, 25MN, 26MN, </w:t>
      </w:r>
      <w:r>
        <w:rPr>
          <w:color w:val="000000"/>
          <w:u w:color="000000"/>
        </w:rPr>
        <w:t>27MN, 28MN, 29MN, 30MN, 31MN, 32MN, 33MN, 1MNS, 2MNS, 1MN-KOG, na których obowiązują poziomy hałasu jak dla terenów przeznaczonych pod zabudowę mieszkaniową jednorodzinną,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tereny oznaczone symbolami: 2MN-U, 3MN-U, 4MN-U, 6MN-U, 7MN-U, 8MN-U, 9MN-U, 10MN</w:t>
      </w:r>
      <w:r>
        <w:rPr>
          <w:color w:val="000000"/>
          <w:u w:color="000000"/>
        </w:rPr>
        <w:t>-U, 11MN-U, 12MN-U, 13MN-U, 14MN-U, 15MN-U, 16MN-U, na których obowiązują poziomy hałasu jak dla terenów mieszkaniowo-usługowych,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oznaczony symbolem 1MN-U, na którym obowiązują poziomy hałasu jak dla terenów przeznaczonych pod domy opieki społeczn</w:t>
      </w:r>
      <w:r>
        <w:rPr>
          <w:color w:val="000000"/>
          <w:u w:color="000000"/>
        </w:rPr>
        <w:t>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tereny oznaczone symbolami: 5MN-U i 2U, na którym obowiązują poziomy hałasu jak dla terenów związanych ze stałym lub czasowym pobytem dzieci i młodzieży,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tereny oznaczone symbolami: 1WS-ZP i 1ZN, na których obowiązują poziomy hałasu jak dla </w:t>
      </w:r>
      <w:r>
        <w:rPr>
          <w:color w:val="000000"/>
          <w:u w:color="000000"/>
        </w:rPr>
        <w:t>terenów przeznaczonych na cele rekreacyjno-wypoczynkowe;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stosowania zabezpieczeń akustycznych od ponadnormatywnego oddziaływania akustycznego od istniejących ciągów komunikacyjnych oraz przy realizacji nowej i przebudowie istniejącej zabudowy wyma</w:t>
      </w:r>
      <w:r>
        <w:rPr>
          <w:color w:val="000000"/>
          <w:u w:color="000000"/>
        </w:rPr>
        <w:t>gającej ochrony przed hałasem – zgodnie z rozporządzeniem Ministra Infrastruktury z dnia 12 kwietnia 2002 r. w sprawie warunków technicznych, jakim powinny odpowiadać budynki i ich usytuowanie.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ochrony przed promieniowaniem elektromagnetyczny</w:t>
      </w:r>
      <w:r>
        <w:rPr>
          <w:color w:val="000000"/>
          <w:u w:color="000000"/>
        </w:rPr>
        <w:t>m ustala się, że poziom pól elektromagnetycznych w środowisku nie może przekraczać dopuszczalnych wartości określonych w ustawie z dnia 27 kwietnia 2001 r. Prawo ochrony środowiska, przy czym: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na rysunku planu symbolami: 1MN, 2MN</w:t>
      </w:r>
      <w:r>
        <w:rPr>
          <w:color w:val="000000"/>
          <w:u w:color="000000"/>
        </w:rPr>
        <w:t>, 3MN, 4MN, 5MN, 6MN, 7MN, 8MN, 9MN, 10MN, 11MN, 12MN, 13MN, 14MN, 15MN, 16MN, 17MN, 18MN, 19MN, 20MN, 21MN, 22MN, 23MN, 24MN, 25MN, 26MN, 27MN, 28MN, 29MN, 30MN, 31MN, 32MN, 33MN, 1MNS, 2MNS,1MN-U, 2MN-U, 3MN-U, 4MN-U, 5MN-U, 6MN-U, 7MN-U, 8MN-U, 9MN-U, 1</w:t>
      </w:r>
      <w:r>
        <w:rPr>
          <w:color w:val="000000"/>
          <w:u w:color="000000"/>
        </w:rPr>
        <w:t xml:space="preserve">0MN-U, 11MN-U, 12MN-U, 13MN-U, 14MN-U, 15MN-U, </w:t>
      </w:r>
      <w:r>
        <w:rPr>
          <w:color w:val="000000"/>
          <w:u w:color="000000"/>
        </w:rPr>
        <w:lastRenderedPageBreak/>
        <w:t>16MN-U, 1MN-KOG obowiązują dopuszczalne poziomy pól elektromagnetycznych jak dla terenów przeznaczonych pod zabudowę mieszkaniową;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wszystkich pozostałych terenów w obszarze objętym planem obowiązują dop</w:t>
      </w:r>
      <w:r>
        <w:rPr>
          <w:color w:val="000000"/>
          <w:u w:color="000000"/>
        </w:rPr>
        <w:t>uszczalne poziomy pól elektromagnetycznych jak dla miejsc dostępnych dla ludności.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ochrony powietrza: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nakaz zapobiegania powstawaniu emisji i ograniczania wprowadzanych do powietrza substancji – zgodnie z ustawą z dnia 27 kwietnia 2001 r. </w:t>
      </w:r>
      <w:r>
        <w:rPr>
          <w:color w:val="000000"/>
          <w:u w:color="000000"/>
        </w:rPr>
        <w:t>Prawo ochrony środowiska;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magazynowania na otwartej przestrzeni materiałów pylących.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ochrony wód: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opóźniania spływu wód opadowych i roztopowych do odbiorników we własnym zakresie w obrębie działki;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zabezpieczenia dr</w:t>
      </w:r>
      <w:r>
        <w:rPr>
          <w:color w:val="000000"/>
          <w:u w:color="000000"/>
        </w:rPr>
        <w:t>ożności systemu odprowadzania wód na obszarze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realizacji obiektów w sposób niepowodujący zmiany stosunków wodnych na obszarze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realizacji inwestycji mogących prowadzić do zanieczyszczenia wód podziemnych i wód powierzchniowyc</w:t>
      </w:r>
      <w:r>
        <w:rPr>
          <w:color w:val="000000"/>
          <w:u w:color="000000"/>
        </w:rPr>
        <w:t>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ze względu na położenie obszaru planu w granicach Głównego Zbiornika Wód Podziemnych GZWP nr 330 Gliwice wraz z ustanowionym obszarem ochronnym, obowiązują działania zawarte w rozporządzeniu Wojewody Śląskiego z dnia 25 września 2023 r. w sprawie ust</w:t>
      </w:r>
      <w:r>
        <w:rPr>
          <w:color w:val="000000"/>
          <w:u w:color="000000"/>
        </w:rPr>
        <w:t>anowienia obszaru ochronnego Głównego Zbiornika Wód Podziemnych nr 330 – Zbiornik Gliwice.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postępowania z odpadami: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realizacji miejsc do zbierania odpadów komunalnych przy zastosowaniu osłon oraz zabezpieczeń przed infiltracją wód op</w:t>
      </w:r>
      <w:r>
        <w:rPr>
          <w:color w:val="000000"/>
          <w:u w:color="000000"/>
        </w:rPr>
        <w:t>adowych;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wykorzystywania terenu objętego planem w celu prowadzenia działalności polegającej na zbieraniu i przetwarzaniu odpadów, w tym surowców wtórnych, złomu i pojazdów wycofanych z eksploatacji, przy czym przez przetwarzanie odpadów należy roz</w:t>
      </w:r>
      <w:r>
        <w:rPr>
          <w:color w:val="000000"/>
          <w:u w:color="000000"/>
        </w:rPr>
        <w:t>umieć także składowanie odpadów.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ochrony powierzchni ziemi: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gleby przed degradacją lub zanieczyszczeniem;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zagospodarowania zielenią urządzoną lub izolacyjną powierzchni niezabudowanych lub nieutwardzonych;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m</w:t>
      </w:r>
      <w:r>
        <w:rPr>
          <w:color w:val="000000"/>
          <w:u w:color="000000"/>
        </w:rPr>
        <w:t>agazynowania surowców i materiałów bezpośrednio na powierzchni gruntu bez zabezpieczenia powierzchni przed infiltracją wód opadowych.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ochrony przyrody: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 xml:space="preserve">część obszaru planu położona jest w granicach Specjalnego Obszaru Ochrony Siedlisk </w:t>
      </w:r>
      <w:r>
        <w:rPr>
          <w:color w:val="000000"/>
          <w:u w:color="000000"/>
        </w:rPr>
        <w:t>Natura 2000 „Podziemia Tarnogórsko-Bytomskie” o symbolu PLH240003, zatwierdzonego decyzją Komisji Europejskiej 2008/25/WE z dnia 13 listopada 2007 r.;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obszaru, o którym mowa w pkt 1 obowiązują działania zawarte w planie zadań ochronnych ustanowionym</w:t>
      </w:r>
      <w:r>
        <w:rPr>
          <w:color w:val="000000"/>
          <w:u w:color="000000"/>
        </w:rPr>
        <w:t xml:space="preserve"> w 2014 r. w brzmieniu zmian wprowadzonych zarządzeniem Regionalnego Dyrektora Ochrony Środowiska w Katowicach z dnia 20 lipca 2023 r., zmieniającym zarządzenie w sprawie ustanowienia planu zadań ochronnych dla obszaru Natura 2000 Podziemia Tarnogórsko-Byt</w:t>
      </w:r>
      <w:r>
        <w:rPr>
          <w:color w:val="000000"/>
          <w:u w:color="000000"/>
        </w:rPr>
        <w:t>omskie PLH240003 (Dz. Urz. Woj. Śl. z 2023 r. poz. 5839);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część obszaru planu położona jest w granicach zespołu przyrodniczo-krajobrazowego „Suchogórski Labirynt Skalny”, ustanowionego uchwałą nr XXVIII/385/08 Rady Miejskiej w Bytomiu z dnia 27 maja 200</w:t>
      </w:r>
      <w:r>
        <w:rPr>
          <w:color w:val="000000"/>
          <w:u w:color="000000"/>
        </w:rPr>
        <w:t>8 r., zmienioną uchwałą nr XLIX/650/21 Rady Miejskiej w Bytomiu z dnia 27 września 2021 r., dla którego obowiązują działania ochronne zawarte w treści ww. uchwał.</w:t>
      </w:r>
    </w:p>
    <w:p w:rsidR="00A77B3E" w:rsidRDefault="00D01F03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kształtowania krajobrazu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 xml:space="preserve">Zakaz stosowania sidingu elewacyjnego do </w:t>
      </w:r>
      <w:r>
        <w:rPr>
          <w:color w:val="000000"/>
          <w:u w:color="000000"/>
        </w:rPr>
        <w:t>wykończenia elewacji budynków.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stosowania blachy falistej lub trapezowej do wykończenia elewacji budynków na terenach: 1KOG i 1MN-KOG.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Zakaz stosowania na elewacji budynku kolorów jaskrawych lub fosforyzujących.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Nakaz stosowania ujednolicone</w:t>
      </w:r>
      <w:r>
        <w:rPr>
          <w:color w:val="000000"/>
          <w:u w:color="000000"/>
        </w:rPr>
        <w:t>j kolorystyki elewacji i ujednoliconej kolorystyki dachów w granicach działki budowlanej.</w:t>
      </w:r>
    </w:p>
    <w:p w:rsidR="00A77B3E" w:rsidRDefault="00D01F0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dziedzictwa kulturowego i zabytków, w tym krajobrazów kulturowych oraz dóbr kultury współczesnej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Na obszarze planu nie ustala się z</w:t>
      </w:r>
      <w:r>
        <w:rPr>
          <w:color w:val="000000"/>
          <w:u w:color="000000"/>
        </w:rPr>
        <w:t>asad ochrony dóbr kultury współczesnej oraz krajobrazów kulturowych.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znajduje się obiekt budowlany o wartościach kulturowych – słup triangulacyjny z 1852 r. zlokalizowany na Suchej Górze w Bytomiu na działce ewidencyjnej nr 489/282, wp</w:t>
      </w:r>
      <w:r>
        <w:rPr>
          <w:color w:val="000000"/>
          <w:u w:color="000000"/>
        </w:rPr>
        <w:t>isany 5 stycznia 2026 r. do rejestru zabytków ruchomych pod nr B/587/2026.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obiektu budowlanego o wartościach kulturowych wymienionego w ust. 2, w przypadku podejmowania robót budowlanych, rozumianych w myśl ustawy z dnia 7 lipca 1994 r. Prawo budowl</w:t>
      </w:r>
      <w:r>
        <w:rPr>
          <w:color w:val="000000"/>
          <w:u w:color="000000"/>
        </w:rPr>
        <w:t>ane oraz wszelkich działań przy lub w otoczeniu zabytku, o których mowa w ustawie z dnia 23 lipca 2003 r. o ochronie zabytków i opiece nad zabytkami, obowiązują przepisy przywołanych ustaw.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obszarze planu ustanawia się ochronę budynków i obiektów mał</w:t>
      </w:r>
      <w:r>
        <w:rPr>
          <w:color w:val="000000"/>
          <w:u w:color="000000"/>
        </w:rPr>
        <w:t>ej architektury o wartościach kulturowych, ujętych w gminnej ewidencji zabytków i oznaczonych na rysunku planu.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Ochronie, o której mowa w ust. 4, podlegają następujące budynki ujęte w 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6"/>
        <w:gridCol w:w="2010"/>
        <w:gridCol w:w="3166"/>
        <w:gridCol w:w="2085"/>
        <w:gridCol w:w="2175"/>
      </w:tblGrid>
      <w:tr w:rsidR="006541B1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lastRenderedPageBreak/>
              <w:t>Lp.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Adres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Nazwa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Styl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Data wzniesienia</w:t>
            </w:r>
          </w:p>
        </w:tc>
      </w:tr>
      <w:tr w:rsidR="006541B1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ul. Strzelców Bytomskich 340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budynek restauracji (dawny zajazd)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modernizm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początek XX w., przebudowa lata 90. XX w.</w:t>
            </w:r>
          </w:p>
        </w:tc>
      </w:tr>
      <w:tr w:rsidR="006541B1">
        <w:trPr>
          <w:trHeight w:val="539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ul. Janusza Korczaka 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budynek szkoły podstawowej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modernizm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początek XX w.</w:t>
            </w:r>
          </w:p>
        </w:tc>
      </w:tr>
    </w:tbl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Ustala się szczegółowe zasady ochrony budynku przy ul. </w:t>
      </w:r>
      <w:r>
        <w:rPr>
          <w:color w:val="000000"/>
          <w:u w:color="000000"/>
        </w:rPr>
        <w:t>Strzelców Bytomskich 340 (oznaczonego nr 1):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skali i formy architektonicznej budynku, kąta nachylenia i kształtu dachu wraz z lukarnami i naczółkami, rozmieszczenia, proporcji i podziałów okien oraz detalu architektonicznego;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dokonywania przekształceń budynku powodujących obniżenie jego wartości historycznej,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likwidacji lub zmiany proporcji i kształtu otworów okiennych i drzwiowych, z zastrzeżeniem pkt 3 lit. c i d,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stosowania materiałów typu siding, blacha trapezowa i fa</w:t>
      </w:r>
      <w:r>
        <w:rPr>
          <w:color w:val="000000"/>
          <w:u w:color="000000"/>
        </w:rPr>
        <w:t>lista, dachówka bitumiczna,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umieszczania na elewacjach budynku od strony terenów dróg wyznaczonych w planie, elementów takich jak: anteny, klimatyzatory, przewody natynkowe, ogniwa fotowoltaiczne,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docieplania zewnętrznego i tynkowania ceglanych elewa</w:t>
      </w:r>
      <w:r>
        <w:rPr>
          <w:color w:val="000000"/>
          <w:u w:color="000000"/>
        </w:rPr>
        <w:t>cji i ich detali architektonicznych, z zastrzeżeniem pkt 3 lit. a;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docieplanie: elewacji dziedzińca wewnętrznego oraz elewacji parterowej oficyny gospodarczej, z zastosowaniem tynku w kolorze naturalnego tynku cementowo-wapiennego, </w:t>
      </w:r>
      <w:r>
        <w:rPr>
          <w:color w:val="000000"/>
          <w:u w:color="000000"/>
        </w:rPr>
        <w:t>piaskowym, popielatym lub naturalnej cegły,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przebudowę oraz zmianę sposobu użytkowania pod warunkiem, że działania te nie spowodują utraty cech stylowych obiektu wymienionych w pkt 1, z zastrzeżeniem lit. c i d,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zmianę otworów okiennych, drzwiowych o</w:t>
      </w:r>
      <w:r>
        <w:rPr>
          <w:color w:val="000000"/>
          <w:u w:color="000000"/>
        </w:rPr>
        <w:t>raz witryn w parterze budynku, z zachowaniem rozmieszczenia, proporcji i podziałów jak na kondygnacjach wyższych,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odtworzenie zamurowanych wtórnie otworów okiennych oraz przywrócenie pierwotnego kształtu i umiejscowienia otworów okiennych  w historyczne</w:t>
      </w:r>
      <w:r>
        <w:rPr>
          <w:color w:val="000000"/>
          <w:u w:color="000000"/>
        </w:rPr>
        <w:t>j formie wynikającej z dokumentacji konserwatorskiej,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 połaci dachu od strony dróg publicznych wyznaczonych w planie stosowanie jako pokrycia dachu wyłącznie dachówki ceramicznej w kolorze czerwono-brunatnym,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montaż okien połaciowych, przy zachowa</w:t>
      </w:r>
      <w:r>
        <w:rPr>
          <w:color w:val="000000"/>
          <w:u w:color="000000"/>
        </w:rPr>
        <w:t>niu proporcji, podziałów i osi otworów okiennych i drzwiowych na niższych kondygnacjach,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g) </w:t>
      </w:r>
      <w:r>
        <w:rPr>
          <w:color w:val="000000"/>
          <w:u w:color="000000"/>
        </w:rPr>
        <w:t>dobudowę zewnętrznej windy na elewacji budynku, za wyjątkiem elewacji od strony terenów dróg wyznaczonych w planie.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Ustala się szczegółowe zasady ochrony budynku</w:t>
      </w:r>
      <w:r>
        <w:rPr>
          <w:color w:val="000000"/>
          <w:u w:color="000000"/>
        </w:rPr>
        <w:t xml:space="preserve"> przy ul. Janusza Korczaka 1 (oznaczonego nr 2):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skali i formy architektonicznej budynku, kąta nachylenia i kształtu dachu wraz z lukarnami i naczółkami, rozmieszczenia, proporcji i podziałów okien oraz detalu architektonicznego;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dokonywania przekształceń budynku powodujących obniżenie jego wartości historycznej,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likwidacji lub zmiany proporcji i kształtu otworów okiennych i drzwiowych, z zastrzeżeniem pkt 3 lit. c i d,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stosowania materiałów typu siding, blacha trapezowa </w:t>
      </w:r>
      <w:r>
        <w:rPr>
          <w:color w:val="000000"/>
          <w:u w:color="000000"/>
        </w:rPr>
        <w:t>i falista, dachówka bitumiczna,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umieszczania na elewacji budynku od strony terenów dróg wyznaczonych w planie, elementów takich jak: anteny, klimatyzatory, przewody natynkowe, ogniwa fotowoltaiczne,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docieplania zewnętrznego materiałami, które wpływaj</w:t>
      </w:r>
      <w:r>
        <w:rPr>
          <w:color w:val="000000"/>
          <w:u w:color="000000"/>
        </w:rPr>
        <w:t>ą na zmianę proporcji i plastykę bryły budynku, z zastrzeżeniem pkt 3 lit. a;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zastosowanie tynków temoizolacyjnych lub innych powłok termoizolacyjnych, które nie wpływają na zmianę bryły obiektu, w stonowanej, odpowiadającej pierwotnej</w:t>
      </w:r>
      <w:r>
        <w:rPr>
          <w:color w:val="000000"/>
          <w:u w:color="000000"/>
        </w:rPr>
        <w:t>, historycznej kolorystyce oraz z zachowaniem lub odtworzeniem detalu architektonicznego, tj. boniowania, gzymsów itp.,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przebudowę oraz zmianę sposobu użytkowania pod warunkiem, że działania te nie spowodują utraty cech stylowych obiektu wymienionych w </w:t>
      </w:r>
      <w:r>
        <w:rPr>
          <w:color w:val="000000"/>
          <w:u w:color="000000"/>
        </w:rPr>
        <w:t>pkt 1, z zastrzeżeniem lit. c i d,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zmianę otworów okiennych i drzwiowych w parterze budynku, z zachowaniem rozmieszczenia, proporcji i podziałów jak na kondygnacjach wyższych,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odtworzenie zamurowanych wtórnie otworów okiennych oraz przywrócenie pierw</w:t>
      </w:r>
      <w:r>
        <w:rPr>
          <w:color w:val="000000"/>
          <w:u w:color="000000"/>
        </w:rPr>
        <w:t>otnego kształtu i umiejscowienia otworów okiennych  w historycznej formie wynikającej z dokumentacji konserwatorskiej,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stosowanie jako pokrycia dachu wyłącznie dachówki ceramicznej w kolorze czerwono-brunatnym,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montaż okien połaciowych, przy zachowan</w:t>
      </w:r>
      <w:r>
        <w:rPr>
          <w:color w:val="000000"/>
          <w:u w:color="000000"/>
        </w:rPr>
        <w:t>iu proporcji, podziałów i osi otworów okiennych i drzwiowych na niższych kondygnacjach,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dobudowę zewnętrznej windy na tylnej (północnej) elewacji budynku.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Ochronie, o której mowa w ust. 4, podlegają następujące obiekty małej architektury, ujęte w </w:t>
      </w:r>
      <w:r>
        <w:rPr>
          <w:color w:val="000000"/>
          <w:u w:color="000000"/>
        </w:rPr>
        <w:t>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1"/>
        <w:gridCol w:w="1800"/>
        <w:gridCol w:w="3421"/>
        <w:gridCol w:w="2130"/>
        <w:gridCol w:w="2130"/>
      </w:tblGrid>
      <w:tr w:rsidR="006541B1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lastRenderedPageBreak/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Adres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Nazwa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Data wzniesienia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Styl obiektu</w:t>
            </w:r>
          </w:p>
        </w:tc>
      </w:tr>
      <w:tr w:rsidR="006541B1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ul. 9-go Maja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grota Matki Boskiej w Parku Grota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1938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541B1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ul. Księdza Prymasa Stefana</w:t>
            </w:r>
          </w:p>
          <w:p w:rsidR="006541B1" w:rsidRDefault="00D01F03">
            <w:r>
              <w:t>Wyszyńskiego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krzyż obok nr 19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lata</w:t>
            </w:r>
          </w:p>
          <w:p w:rsidR="006541B1" w:rsidRDefault="00D01F03">
            <w:r>
              <w:t>międzywojenne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</w:tr>
      <w:tr w:rsidR="006541B1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ul. Strzelców Bytomskich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krucyfiks obok nr 282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1890 r.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01F03">
            <w:pPr>
              <w:rPr>
                <w:color w:val="000000"/>
                <w:u w:color="000000"/>
              </w:rPr>
            </w:pPr>
            <w:r>
              <w:t>Historyzm</w:t>
            </w:r>
          </w:p>
        </w:tc>
      </w:tr>
    </w:tbl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Ustala się szczegółowe zasady ochrony obiektów małej architektury, o których mowa w ust. 8: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utrzymania obiektów w historycznej formie wynikającej z dokumentacji konserwatorskiej;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zakaz lokalizowania </w:t>
      </w:r>
      <w:r>
        <w:rPr>
          <w:color w:val="000000"/>
          <w:u w:color="000000"/>
        </w:rPr>
        <w:t>od strony przylegających terenów dróg publicznych innych obiektów lub zieleni przesłaniającej obiekt chroniony;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odtworzenia obiektów w historycznej formie, wynikającej z dokumentacji konserwatorskiej.</w:t>
      </w:r>
    </w:p>
    <w:p w:rsidR="00A77B3E" w:rsidRDefault="00D01F03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Wymagania wynikające z potr</w:t>
      </w:r>
      <w:r>
        <w:rPr>
          <w:b/>
          <w:color w:val="000000"/>
          <w:u w:color="000000"/>
        </w:rPr>
        <w:t>zeb kształtowania przestrzeni publicznych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Na obszarze planu nie występują obszary przestrzeni publicznych w rozumieniu ustawy z dnia 27 marca 2003 r. o planowaniu i zagospodarowaniu przestrzennym, wobec czego nie formułuje się ustaleń dotyczących wym</w:t>
      </w:r>
      <w:r>
        <w:rPr>
          <w:color w:val="000000"/>
          <w:u w:color="000000"/>
        </w:rPr>
        <w:t>agań wynikających z potrzeb ich kształtowania.</w:t>
      </w:r>
    </w:p>
    <w:p w:rsidR="00A77B3E" w:rsidRDefault="00D01F0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Granice i sposoby zagospodarowania terenów lub obiektów podlegających ochronie, na podstawie odrębnych przepisów, terenów górniczych, a także obszarów szczególnego zagrożenia powodzią, obszarów osu</w:t>
      </w:r>
      <w:r>
        <w:rPr>
          <w:b/>
          <w:color w:val="000000"/>
          <w:u w:color="000000"/>
        </w:rPr>
        <w:t>wania się mas ziemnych, krajobrazów priorytetowych określonych w audycie krajobrazowym oraz w planach zagospodarowania przestrzennego województwa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Na obszarze planu nie występują udokumentowane złoża kopalin.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nie występują tere</w:t>
      </w:r>
      <w:r>
        <w:rPr>
          <w:color w:val="000000"/>
          <w:u w:color="000000"/>
        </w:rPr>
        <w:t>ny i obszary górnicze.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obszarze planu znajduje się proponowana strefa ochrony pośredniej ujęcia wody podziemnej studni S-2 przy ul. Blachówka w Bytomiu (położonej poza obszarem planu).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części obszaru objętego planem, zgodnie z informacjami arch</w:t>
      </w:r>
      <w:r>
        <w:rPr>
          <w:color w:val="000000"/>
          <w:u w:color="000000"/>
        </w:rPr>
        <w:t>iwalnymi, prowadzona była płytka eksploatacja rudna i występują wyrobiska mające połączenie z powierzchnią (zlikwidowane szyby porudne i zlikwidowane szybiki), które na rysunku planu oznaczono w celach informacyjnych.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części obszaru objętego planem w</w:t>
      </w:r>
      <w:r>
        <w:rPr>
          <w:color w:val="000000"/>
          <w:u w:color="000000"/>
        </w:rPr>
        <w:t>ystępują płytkie wody gruntowe o głębokości do 1,0 m p. p. t., których orientacyjny zasięg wskazano na rysunku planu.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Na obszarze objętym planem występuje krajobraz priorytetowy Segiet, kod krajobrazu 24-341.12-036, oznaczony graficznie na rysunku planu</w:t>
      </w:r>
      <w:r>
        <w:rPr>
          <w:color w:val="000000"/>
          <w:u w:color="000000"/>
        </w:rPr>
        <w:t>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Sposób zagospodarowania terenu, o którym mowa w ust. 6, zgodnie z ustaleniami zawartymi w niniejszej uchwale.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Na obszarze planu nie występują obszary szczególnego zagrożenia powodzią i obszary osuwania się mas ziemnych, wobec czego nie formułuje si</w:t>
      </w:r>
      <w:r>
        <w:rPr>
          <w:color w:val="000000"/>
          <w:u w:color="000000"/>
        </w:rPr>
        <w:t>ę ustaleń dotyczących: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obszarów szczególnego zagrożenia powodzią;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osuwania się mas ziemnych.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Na terenie położonym w granicach obszaru Natura 2000 ustala się nakaz </w:t>
      </w:r>
      <w:r>
        <w:rPr>
          <w:color w:val="000000"/>
          <w:u w:color="000000"/>
        </w:rPr>
        <w:t>realizacji zabudowy i zagospodarowania terenów, w tym lokalizowania inwestycji i przedsięwzięć – zgodnie z planem zadań ochronnych wydanym zarządzeniem Regionalnego Dyrektora Ochrony Środowiska w Katowicach z dnia 24 kwietnia 2014 r. w sprawie ustanowienia</w:t>
      </w:r>
      <w:r>
        <w:rPr>
          <w:color w:val="000000"/>
          <w:u w:color="000000"/>
        </w:rPr>
        <w:t xml:space="preserve"> planu zadań ochronnych dla obszaru Natura 2000 Podziemia Tarnogórsko-Bytomskie PLH240003, w brzmieniu zmian wprowadzonych zarządzeniem Regionalnego Dyrektora Ochrony Środowiska w Katowicach z dnia 20 lipca 2023 r., zmieniającym zarządzenie w sprawie ustan</w:t>
      </w:r>
      <w:r>
        <w:rPr>
          <w:color w:val="000000"/>
          <w:u w:color="000000"/>
        </w:rPr>
        <w:t>owienia planu zadań ochronnych dla obszaru Natura 2000 Podziemia Tarnogórsko-Bytomskie PLH240003 (Dz. Urz. Woj. Śl. z 2023 r. poz. 5839).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Obszar planu znajduje się w granicach strefy ochronnej terenu zamkniętego resortu obrony narodowej – ustalonej  na</w:t>
      </w:r>
      <w:r>
        <w:rPr>
          <w:color w:val="000000"/>
          <w:u w:color="000000"/>
        </w:rPr>
        <w:t xml:space="preserve"> podstawie protokołu prac Komisji, zatwierdzonego przez Szefa Inspektoratu Wsparcia Sił Zbrojnych w dniu 17 kwietnia 2020 r. terenu zamkniętego resortu obrony narodowej wyszczególnionego pod poz. nr 648 w załączniku do decyzji nr 91/MON Ministra Obrony Nar</w:t>
      </w:r>
      <w:r>
        <w:rPr>
          <w:color w:val="000000"/>
          <w:u w:color="000000"/>
        </w:rPr>
        <w:t>odowej z dnia 26 lipca 2024 r. w sprawie ustalenia terenów zamkniętych w resorcie obrony narodowej (Dz. Urz. Min. Obr. Nar. z 2024 r. poz. 115, 230 oraz z 2025 r. poz. 54, 139 i 226) – Strefa II ograniczonego budownictwa wysokościowego.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strefie, o kt</w:t>
      </w:r>
      <w:r>
        <w:rPr>
          <w:color w:val="000000"/>
          <w:u w:color="000000"/>
        </w:rPr>
        <w:t>órej mowa w ust. 10, obowiązują ograniczenia wysokości zabudowy zgodnie z ustaleniami planu.</w:t>
      </w:r>
    </w:p>
    <w:p w:rsidR="00A77B3E" w:rsidRDefault="00D01F0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Szczegółowe zasady i warunki scalania i podziału nieruchomości objętych planem miejscowym, w tym parametry działek uzyskiwanych w wyniku scalania i pod</w:t>
      </w:r>
      <w:r>
        <w:rPr>
          <w:b/>
          <w:color w:val="000000"/>
          <w:u w:color="000000"/>
        </w:rPr>
        <w:t>ziału nieruchomości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 xml:space="preserve">Ustala się następujące parametry działek uzyskiwanych w wyniku scalania i podziału nieruchomości: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szerokość frontów działek: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8 m – dla terenów o symbolach: 1MN – 33MN, 1MNS – 2MNS, 1MN-U – 16MN-U, 1U –  2U, </w:t>
      </w:r>
      <w:r>
        <w:rPr>
          <w:color w:val="000000"/>
          <w:u w:color="000000"/>
        </w:rPr>
        <w:t>1UR, 1U-INS,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3,0 m – dla terenów o symbolach: 1KOG i 1MN-KOG,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5,0 m – dla pozostałych terenów;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minimalna powierzchnia działek: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250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–  dla terenów o symbolach: 1MN – 33MN, 1MNS – 2MNS, 1MN-U – 16MN-U, 1U – 2U, 1UR, 1U-INS,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15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</w:t>
      </w:r>
      <w:r>
        <w:rPr>
          <w:color w:val="000000"/>
          <w:u w:color="000000"/>
        </w:rPr>
        <w:t>nów o symbolach: 1KOG i 1MN-KOG,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pozostałych terenów;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kąt położenia granic działek w stosunku do pasa drogowego: 90° z dopuszczeniem odchylenia o 10°.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Określone w ust. 1 parametry działek nie dotyczą wydzielania działek pod </w:t>
      </w:r>
      <w:r>
        <w:rPr>
          <w:color w:val="000000"/>
          <w:u w:color="000000"/>
        </w:rPr>
        <w:t>infrastrukturę techniczną.</w:t>
      </w:r>
    </w:p>
    <w:p w:rsidR="00A77B3E" w:rsidRDefault="00D01F0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Szczególne warunki zagospodarowania terenów oraz ograniczenia w ich użytkowaniu, w tym zakaz zabudowy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Dla istniejącej zabudowy na działkach budowlanych, na których w momencie wejścia w życie planu przekroczon</w:t>
      </w:r>
      <w:r>
        <w:rPr>
          <w:color w:val="000000"/>
          <w:u w:color="000000"/>
        </w:rPr>
        <w:t>e zostały zasady ustalone w niniejszym planie, w tym przeznaczenie oraz parametry i wskaźniki zabudowy lub zagospodarowania terenu ustala się zakaz rozbudowy, która powodowałaby dalsze przekroczenie zasad, parametrów i wskaźników zabudowy lub zagospodarowa</w:t>
      </w:r>
      <w:r>
        <w:rPr>
          <w:color w:val="000000"/>
          <w:u w:color="000000"/>
        </w:rPr>
        <w:t>nia terenu, za wyjątkiem rozbudowy o elementy takie jak: wejścia do budynku, dostosowanie wejść dla potrzeb osób niepełnosprawnych, zadaszenia wejść oraz docieplenia budynku.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wykraczających poza linie zabudowy fragmentów budynków istniejących w dniu</w:t>
      </w:r>
      <w:r>
        <w:rPr>
          <w:color w:val="000000"/>
          <w:u w:color="000000"/>
        </w:rPr>
        <w:t xml:space="preserve"> wejścia w życie planu, dopuszcza się przebudowy, remonty i zmiany sposobu użytkowania przy zachowaniu pozostałych ustaleń planu.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terenów zabudowy położonych w strefie – w odległości 50,0 m od granicy istniejącego cmentarza – oznaczonej graficznie n</w:t>
      </w:r>
      <w:r>
        <w:rPr>
          <w:color w:val="000000"/>
          <w:u w:color="000000"/>
        </w:rPr>
        <w:t>a rysunku planu, zakazuje się lokalizacji: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nowej zabudowy mieszkaniowej;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zakładów produkcji żywności;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zakładów żywienia zbiorowego;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studni służących do czerpania wody do picia i potrzeb gospodarczych;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zakładów przechowujących artykuły żywnoś</w:t>
      </w:r>
      <w:r>
        <w:rPr>
          <w:color w:val="000000"/>
          <w:u w:color="000000"/>
        </w:rPr>
        <w:t>ci.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Dopuszcza się przebudowę, rozbudowę i odbudowę istniejącej zabudowy mieszkaniowej jednorodzinnej położonej na obszarze niniejszego planu w strefie w odległości 50,0 m od granicy istniejących cmentarzy.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Dla terenów zabudowy położonych w odległości</w:t>
      </w:r>
      <w:r>
        <w:rPr>
          <w:color w:val="000000"/>
          <w:u w:color="000000"/>
        </w:rPr>
        <w:t xml:space="preserve"> pomiędzy strefą – w odległości 50,0 m od granicy istniejącego cmentarza do strefy w odległości 150,0 m od granicy istniejącego cmentarza – oznaczonej graficznie na rysunku planu, dopuszcza się lokalizację budynków, z zastrzeżeniem podłączenia ich do sieci</w:t>
      </w:r>
      <w:r>
        <w:rPr>
          <w:color w:val="000000"/>
          <w:u w:color="000000"/>
        </w:rPr>
        <w:t xml:space="preserve"> wodociągowej.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Dla terenów położonych na obszarze niniejszego planu w strefie – w odległości 500,0 m od granicy istniejącego cmentarza – oznaczonej graficznie na rysunku planu, zakazuje się lokalizowania ujęć wody o charakterze zbiorników wodnych, służą</w:t>
      </w:r>
      <w:r>
        <w:rPr>
          <w:color w:val="000000"/>
          <w:u w:color="000000"/>
        </w:rPr>
        <w:t>cych jako źródło zaopatrzenia sieci wodociągowej w wodę do picia i potrzeb gospodarczych.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Zakaz lokalizacji urządzeń wytwarzających energię z odnawialnych źródeł energii, wykorzystujących energię wiatru – za wyjątkiem mikroinstalacji w rozumieniu ustawy</w:t>
      </w:r>
      <w:r>
        <w:rPr>
          <w:color w:val="000000"/>
          <w:u w:color="000000"/>
        </w:rPr>
        <w:t xml:space="preserve"> z dnia 20 lutego 2015 r. o odnawialnych źródłach energii.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Zakaz lokalizacji instalacji fotowoltaicznych, w tym ich urządzeń, za wyjątkiem instalacji fotowoltaicznych, w tym ich urządzeń, służących wyłącznie zaspokajaniu potrzeb zabudowy zlokalizowanej </w:t>
      </w:r>
      <w:r>
        <w:rPr>
          <w:color w:val="000000"/>
          <w:u w:color="000000"/>
        </w:rPr>
        <w:t>na tej samej działce budowlanej.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Zakaz lokalizacji tymczasowych obiektów budowlanych na terenach o symbolach: 1MN – 33MN, 1MNS, 2MNS, 1MN-U – 16MN-U, 1MN-KOG.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Ustala się maksymalną wysokość obiektów budowlanych takich jak: garaże, oranżerie, budynki</w:t>
      </w:r>
      <w:r>
        <w:rPr>
          <w:color w:val="000000"/>
          <w:u w:color="000000"/>
        </w:rPr>
        <w:t xml:space="preserve"> gospodarcze, wiaty, obiekty małej architektury, odpowiadającą wysokości budynków dla poszczególnych terenów oraz przy uwzględnieniu ustaleń szczegółowych.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obrębie strefy oddziaływania napowietrznej linii elektroenergetycznej 110 kV oznaczonej grafic</w:t>
      </w:r>
      <w:r>
        <w:rPr>
          <w:color w:val="000000"/>
          <w:u w:color="000000"/>
        </w:rPr>
        <w:t>znie na rysunku planu ustala się zakaz: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lokalizacji pomieszczeń przeznaczonych na stały pobyt ludzi oraz realizacji obiektów i urządzeń związanych ze stałym lub czasowym pobytem dzieci i młodzieży na terenach oznaczonych na rysunku planu symbolami: 1MN,</w:t>
      </w:r>
      <w:r>
        <w:rPr>
          <w:color w:val="000000"/>
          <w:u w:color="000000"/>
        </w:rPr>
        <w:t xml:space="preserve"> 2MN, 1MN-U;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realizacji obiektów i urządzeń związanych ze stałym lub czasowym pobytem dzieci i młodzieży na terenie oznaczonym na rysunku planu symbolem 1ZN.</w:t>
      </w:r>
    </w:p>
    <w:p w:rsidR="00A77B3E" w:rsidRDefault="00D01F03">
      <w:pPr>
        <w:keepNext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modernizacji, rozbudowy i budowy systemów komunikacji i infrastruktury tech</w:t>
      </w:r>
      <w:r>
        <w:rPr>
          <w:b/>
          <w:color w:val="000000"/>
          <w:u w:color="000000"/>
        </w:rPr>
        <w:t>nicznej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Ustala się obsługę komunikacyjną terenów z istniejącego oraz projektowanego układu drogowego.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Powiązania z zewnętrznym układem drogowo-ulicznym zapewnia się poprzez istniejące ulice: Strzelców Bytomskich i Długą.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</w:t>
      </w:r>
      <w:r>
        <w:rPr>
          <w:color w:val="000000"/>
          <w:u w:color="000000"/>
        </w:rPr>
        <w:t xml:space="preserve"> oraz klasyfikację dróg publicznych i dróg wewnętrznych – zgodnie z warunkami zawartymi w § 29-31 niniejszej uchwały.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obsługi parkingowej na obszarze objętym planem ustala się: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zapewnienia miejsc parkingowych w granicach działki budo</w:t>
      </w:r>
      <w:r>
        <w:rPr>
          <w:color w:val="000000"/>
          <w:u w:color="000000"/>
        </w:rPr>
        <w:t>wlanej w ilości dostosowanej do rodzaju zabudowy i skali prowadzonej działalności, przy czym ustala się następującą minimalną liczbę miejsc do parkowania: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 – 2 miejsca parkingowe na jeden lokal mieszkalny,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</w:t>
      </w:r>
      <w:r>
        <w:rPr>
          <w:color w:val="000000"/>
          <w:u w:color="000000"/>
        </w:rPr>
        <w:t xml:space="preserve"> lokali handlowych – 1 miejsce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gastronomii – 1 miejsce na 10 miejsc konsumpcyjnych,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zabudowy związanej ze sportem i rekreacją – 1 miejsce na 10 użytkowników,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 stacji obsługi maszyn i pojazdów</w:t>
      </w:r>
      <w:r>
        <w:rPr>
          <w:color w:val="000000"/>
          <w:u w:color="000000"/>
        </w:rPr>
        <w:t xml:space="preserve"> mechanicznych: nie mniej niż 1 miejsce parkingowe na 10 zatrudnionych pracowników,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>dla innych, niewymienionych wyżej działalności – 1 miejsce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 lub 1 miejsce na 10 użytkowników;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pojazdów zaopatrzonych w </w:t>
      </w:r>
      <w:r>
        <w:rPr>
          <w:color w:val="000000"/>
          <w:u w:color="000000"/>
        </w:rPr>
        <w:t>kartę parkingową: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stanowisko, jeżeli liczba miejsc parkingowych wynosi 6 – 15,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 stanowiska, jeżeli liczba miejsc parkingowych wynosi 16 – 40,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 stanowiska, jeżeli liczba miejsc parkingowych wynosi 41 – 100,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4% ogólnej liczby stanowisk, jeżel</w:t>
      </w:r>
      <w:r>
        <w:rPr>
          <w:color w:val="000000"/>
          <w:u w:color="000000"/>
        </w:rPr>
        <w:t>i ogólna liczba stanowisk wynosi więcej niż 100;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wliczania powierzchni miejsc parkingowych, o których mowa w pkt 1 i 2 w powierzchnię biologicznie czynną działki budowlanej.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>Realizacja sieci infrastruktury technicznej: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 liniach </w:t>
      </w:r>
      <w:r>
        <w:rPr>
          <w:color w:val="000000"/>
          <w:u w:color="000000"/>
        </w:rPr>
        <w:t>rozgraniczających dróg publicznych, ciągów komunikacji pieszo-rowerowej;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braku możliwości przeprowadzenia sieci zgodnie z pkt 1, dopuszcza się ich realizację: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linią rozgraniczającą teren, a wyznaczoną linią zabudowy,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wzdłuż gr</w:t>
      </w:r>
      <w:r>
        <w:rPr>
          <w:color w:val="000000"/>
          <w:u w:color="000000"/>
        </w:rPr>
        <w:t>anic nieruchomości lub w ich bezpośrednim sąsiedztwie;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realizacji sieci infrastruktury technicznej w sposób inny niż określony w pkt 1 i 2, jeżeli nie spowoduje to ograniczenia ustalonego planem przeznaczenia terenu.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rozbud</w:t>
      </w:r>
      <w:r>
        <w:rPr>
          <w:color w:val="000000"/>
          <w:u w:color="000000"/>
        </w:rPr>
        <w:t xml:space="preserve">owę, przebudowę oraz zmianę przebiegu sieci i urządzeń infrastruktury technicznej zlokalizowanych w obszarze objętym planem, z zastrzeżeniem ust. 1, a w przypadku realizacji ich nowego przebiegu – dopuszczenie likwidacji dotychczasowych odcinków sieci lub </w:t>
      </w:r>
      <w:r>
        <w:rPr>
          <w:color w:val="000000"/>
          <w:u w:color="000000"/>
        </w:rPr>
        <w:t>urządzeń infrastruktury technicznej.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zaopatrzenia w wodę: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zaopatrzenie z miejskiej sieci wodociągowej;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sukcesywna rozbudowa sieci wodociągowej dla pokrycia potrzeb bytowych, użytkowych i przeciwpożarowych;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zapewnienia właściweg</w:t>
      </w:r>
      <w:r>
        <w:rPr>
          <w:color w:val="000000"/>
          <w:u w:color="000000"/>
        </w:rPr>
        <w:t>o standardu zasilania w wodę dla ochrony przeciwpożarowej.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odprowadzania ścieków sanitarnych oraz wód deszczowych: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odprowadzanie ścieków sanitarnych do kanalizacji miejskiej, z zastrzeżeniem pkt 2 i 3;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dopuszczenie, do czasu realizacji </w:t>
      </w:r>
      <w:r>
        <w:rPr>
          <w:color w:val="000000"/>
          <w:u w:color="000000"/>
        </w:rPr>
        <w:t>kanalizacji sanitarnej, odprowadzenia ścieków sanitarnych zgodnie z przepisami ustawy z dnia 13 września 1996 r. o utrzymaniu czystości i porządku w gminach, z zastrzeżeniem pkt 5;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dopuszczenie odprowadzania wód opadowych i roztopowych zgodnie z ustawą </w:t>
      </w:r>
      <w:r>
        <w:rPr>
          <w:color w:val="000000"/>
          <w:u w:color="000000"/>
        </w:rPr>
        <w:t>z dnia 20 lipca 2017 r. Prawo wodne;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sukcesywna budowa rozdzielczej sieci kanalizacji sanitarnej;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zakazuje się realizacji przydomowych oczyszczalni ścieków.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zaopatrzenia w ciepło: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ciepła z miejskiej sieci ciepłowniczej zdalcz</w:t>
      </w:r>
      <w:r>
        <w:rPr>
          <w:color w:val="000000"/>
          <w:u w:color="000000"/>
        </w:rPr>
        <w:t>ynnej, z zastrzeżeniem pkt 2;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indywidualnych systemów grzewczych, w tym wykorzystujących odnawialne źródła energii.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zaopatrzenia w gaz: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w gaz ziemny w oparciu o istniejącą i projektowaną sieć gazową;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</w:t>
      </w:r>
      <w:r>
        <w:rPr>
          <w:color w:val="000000"/>
          <w:u w:color="000000"/>
        </w:rPr>
        <w:t>ie zaopatrzenia w gaz z indywidualnych zbiorników gazu.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zaopatrzenia w energię elektryczną: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energii elektrycznej w oparciu o istniejącą i projektowaną sieć elektroenergetyczną;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dopuszczenie stosowania indywidualnych urządzeń </w:t>
      </w:r>
      <w:r>
        <w:rPr>
          <w:color w:val="000000"/>
          <w:u w:color="000000"/>
        </w:rPr>
        <w:t>prądotwórczych wykorzystujących odnawialne źródła energii, z zastrzeżeniem § 13 ust. 7 i 8.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telekomunikacji: rozbudowa sieci telekomunikacyjnej oraz budowa nowych urządzeń i sieci telekomunikacyjnych w celu zaspokojenia potrzeb w tym zakresie</w:t>
      </w:r>
      <w:r>
        <w:rPr>
          <w:color w:val="000000"/>
          <w:u w:color="000000"/>
        </w:rPr>
        <w:t>.</w:t>
      </w:r>
    </w:p>
    <w:p w:rsidR="00A77B3E" w:rsidRDefault="00D01F0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i termin tymczasowego zagospodarowania, urządzania i użytkowania terenów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Nie ustala się sposobu i terminu tymczasowego zagospodarowania, urządzania i użytkowania terenów objętych planem.</w:t>
      </w:r>
    </w:p>
    <w:p w:rsidR="00A77B3E" w:rsidRDefault="00D01F0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Stawki procentowe, na podsta</w:t>
      </w:r>
      <w:r>
        <w:rPr>
          <w:b/>
          <w:color w:val="000000"/>
          <w:u w:color="000000"/>
        </w:rPr>
        <w:t>wie których ustala się opłatę, o której mowa w art. 36 ust. 4 ustawy o planowaniu i zagospodarowaniu przestrzennym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>Dla terenów objętych planem określa się stawkę procentową, na podstawie której ustala się opłatę, o której mowa w art. 36 ust. 4 ust</w:t>
      </w:r>
      <w:r>
        <w:rPr>
          <w:color w:val="000000"/>
          <w:u w:color="000000"/>
        </w:rPr>
        <w:t>awy z dnia 27 marca 2003 r. o planowaniu i zagospodarowaniu przestrzennym, w wysokości 30% (słownie: trzydzieści procent). </w:t>
      </w:r>
    </w:p>
    <w:p w:rsidR="00A77B3E" w:rsidRDefault="00D01F03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 dla terenów o różnym przeznaczeniu lub różnych zasadach zagospodarowania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 xml:space="preserve">Dla terenów oznaczonych na rysunku planu symbolami: 1MN, 7MN, 29MN, 30MN – tereny zabudowy mieszkaniowej jednorodzinnej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zabudowy mieszkaniowej jednorodzinnej,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</w:t>
      </w:r>
      <w:r>
        <w:rPr>
          <w:color w:val="000000"/>
          <w:u w:color="000000"/>
        </w:rPr>
        <w:t>rkingu.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dopuszcza się usługi z zakresu usług nieuciążliwych dla zabudowy mieszkaniowej;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mogą być realizowane wyłącznie jako wbudowane w </w:t>
      </w:r>
      <w:r>
        <w:rPr>
          <w:color w:val="000000"/>
          <w:u w:color="000000"/>
        </w:rPr>
        <w:t>budynek mieszkalny;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rozbudowę istniejącej zabudowy pełniącej funkcje stacji obsługi pojazdów i warsztatów samochodowych oraz zakładu tapicerskiego – na terenie 7MN;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zabudowa garażowa może być realizowana wyłącznie jako towarzysząca zabu</w:t>
      </w:r>
      <w:r>
        <w:rPr>
          <w:color w:val="000000"/>
          <w:u w:color="000000"/>
        </w:rPr>
        <w:t>dowie mieszkaniowej, usytuowana na tej samej działce budowlanej.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na terenach: 1MN </w:t>
      </w:r>
      <w:r>
        <w:rPr>
          <w:color w:val="000000"/>
          <w:u w:color="000000"/>
        </w:rPr>
        <w:t>i 30MN: 20%,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terenie 7MN: 30%,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terenie 29MN: 40%;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2,0;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maksymalna wysokość budowli: </w:t>
      </w:r>
      <w:r>
        <w:rPr>
          <w:color w:val="000000"/>
          <w:u w:color="000000"/>
        </w:rPr>
        <w:t>16,0 m, z zastrzeżeniem lit. b i c,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budowli infrastruktury przesyłowej sieci elektroenergetycznej: 40,0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spadowe,</w:t>
      </w:r>
      <w:r>
        <w:rPr>
          <w:color w:val="000000"/>
          <w:u w:color="000000"/>
        </w:rPr>
        <w:t xml:space="preserve"> kąt nachylenia połaci dachowych od 35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do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 xml:space="preserve"> – na terenie 1MN,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spadowe, kąt nachylenia połaci dachowych do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 xml:space="preserve"> – na terenie 30MM,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płaskie lub spadowe, kąt nachylenia połaci dachowych do 45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– na pozostałych terenach,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garaży dopuszcza się dac</w:t>
      </w:r>
      <w:r>
        <w:rPr>
          <w:color w:val="000000"/>
          <w:u w:color="000000"/>
        </w:rPr>
        <w:t>hy płaskie.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Dla terenów oznaczonych na rysunku planu symbolami: 2MN, 3MN, 4MN, 5MN, 6MN, 8MN, 9MN, 10MN, 11MN, 12MN, 13MN, 14MN, 15MN, 16MN, 17MN, 18MN, 19MN, 20MN, 21MN, 22MN, 23MN, 24MN, 25MN, 26MN, 27MN, 28MN, 31MN, 32MN, 33MN – tereny zabudowy</w:t>
      </w:r>
      <w:r>
        <w:rPr>
          <w:color w:val="000000"/>
          <w:u w:color="000000"/>
        </w:rPr>
        <w:t xml:space="preserve"> mieszkaniowej jednorodzinnej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zabudowy mieszkaniowej jednorodzinnej;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przeznaczenie wykluczone: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</w:t>
      </w:r>
      <w:r>
        <w:rPr>
          <w:color w:val="000000"/>
          <w:u w:color="000000"/>
        </w:rPr>
        <w:t>owej i grupowej,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zabudowy mieszkaniowej jednorodzinnej bliźniaczej – na terenach: 6MN, 9MN, 14MN, 16MN, 17MN, 18MN.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dopuszcza się usługi </w:t>
      </w:r>
      <w:r>
        <w:rPr>
          <w:color w:val="000000"/>
          <w:u w:color="000000"/>
        </w:rPr>
        <w:t>z zakresu usług nieuciążliwych dla zabudowy mieszkaniowej;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mogą być realizowane wyłącznie jako wbudowane w budynek mieszkalny, z zastrzeżeniem pkt 3;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rozbudowę istniejących, wolnostojących budynków handlowych na terenach: 13MN i </w:t>
      </w:r>
      <w:r>
        <w:rPr>
          <w:color w:val="000000"/>
          <w:u w:color="000000"/>
        </w:rPr>
        <w:t>21MN;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zabudowa garażowa może być realizowana wyłącznie jako towarzysząca zabudowie mieszkaniowej, usytuowana na tej samej działce budowlanej.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</w:t>
      </w:r>
      <w:r>
        <w:rPr>
          <w:color w:val="000000"/>
          <w:u w:color="000000"/>
        </w:rPr>
        <w:t>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terenach: 2MN, 5MN, 6MN, 9MN, 10MN, 19MN, 21MN, 22MN, 24MN, 25MN, 26MN, 27MN, 28MN, 32MN: 40%,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terenie 13MN: 20%,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pozostałych terenach: 30%;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</w:t>
      </w:r>
      <w:r>
        <w:rPr>
          <w:color w:val="000000"/>
          <w:u w:color="000000"/>
        </w:rPr>
        <w:t>dziemnej intensywności zabudowy: od 0,001 do 2,0;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</w:t>
      </w:r>
      <w:r>
        <w:rPr>
          <w:color w:val="000000"/>
          <w:u w:color="000000"/>
        </w:rPr>
        <w:t>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 – na terenach: 10MN i 12MN,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spadowe, kąt nachylenia połaci dachowych do 45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– na terenie 9MN,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płaskie lub spadowe, kąt nachylenia połaci dachowych do 45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– na pozostałych terenach,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garaży</w:t>
      </w:r>
      <w:r>
        <w:rPr>
          <w:color w:val="000000"/>
          <w:u w:color="000000"/>
        </w:rPr>
        <w:t xml:space="preserve"> dopuszcza się dachy płaskie.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 xml:space="preserve">Dla terenów oznaczonych na rysunku planu symbolami: 1MNS i 2MNS – tereny zabudowy mieszkaniowej jednorodzinnej szeregowej i grupowej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przeznaczenie: teren zabudowy mieszkaniowej jednorodzinnej szeregowe</w:t>
      </w:r>
      <w:r>
        <w:rPr>
          <w:color w:val="000000"/>
          <w:u w:color="000000"/>
        </w:rPr>
        <w:t>j i grupowej;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usługi z zakresu usług nieuciążliwych dla zabudowy mieszkaniowej;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mogą być realizowane wyłącznie jako wbudowane w budynek mieszkalny.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20%;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2,0;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8,0</w:t>
      </w:r>
      <w:r>
        <w:rPr>
          <w:color w:val="000000"/>
          <w:u w:color="000000"/>
        </w:rPr>
        <w:t xml:space="preserve">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 xml:space="preserve">Dla terenu oznaczonego na rysunku planu symbolem 1MN-U – teren zabudowy mieszkaniowej jednorodzinnej lub usług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</w:t>
      </w:r>
      <w:r>
        <w:rPr>
          <w:color w:val="000000"/>
          <w:u w:color="000000"/>
        </w:rPr>
        <w:t>ieszkaniowej jednorodzinnej,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rzemieślniczych,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turystyki,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</w:t>
      </w:r>
      <w:r>
        <w:rPr>
          <w:color w:val="000000"/>
          <w:u w:color="000000"/>
        </w:rPr>
        <w:t>sług handlu hurtowego,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nauki,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usług kultu religijnego.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 xml:space="preserve">zabudowa garażowa może być realizowana wyłącznie jako towarzysząca </w:t>
      </w:r>
      <w:r>
        <w:rPr>
          <w:color w:val="000000"/>
          <w:u w:color="000000"/>
        </w:rPr>
        <w:t>zabudowie mieszkaniowej jednorodzinnej lub usługowej, usytuowana na tej samej działce budowlanej;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zachowania istniejącego szpaleru zieleni wysokiej wzdłuż zachodniej granicy terenu.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kształtowania zabudowy oraz </w:t>
      </w:r>
      <w:r>
        <w:rPr>
          <w:color w:val="000000"/>
          <w:u w:color="000000"/>
        </w:rPr>
        <w:t>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40%;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2,5;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</w:t>
      </w:r>
      <w:r>
        <w:rPr>
          <w:color w:val="000000"/>
          <w:u w:color="000000"/>
        </w:rPr>
        <w:t>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m, z zastrzeżeniem lit. c,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rozbudowy istniejącego budynku o zewnętrzne windy, klatki schodowe itp.: 16,0 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nieprzekraczalna linia </w:t>
      </w:r>
      <w:r>
        <w:rPr>
          <w:color w:val="000000"/>
          <w:u w:color="000000"/>
        </w:rPr>
        <w:t>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rPr>
          <w:color w:val="000000"/>
          <w:u w:color="000000"/>
        </w:rPr>
        <w:t xml:space="preserve">Dla terenów oznaczonych na rysunku planu symbolami: 2MN-U, 6MN-U, 7MN-U, 8MN-U, 11MN-U – tereny zabudowy mieszkaniowej jednorodzinnej lub usług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</w:t>
      </w:r>
      <w:r>
        <w:rPr>
          <w:color w:val="000000"/>
          <w:u w:color="000000"/>
        </w:rPr>
        <w:t>y mieszkaniowej jednorodzinnej,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i grupowej,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</w:t>
      </w:r>
      <w:r>
        <w:rPr>
          <w:color w:val="000000"/>
          <w:u w:color="000000"/>
        </w:rPr>
        <w:t>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handlu hurtowego,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rzemieślniczych,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turystyki,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usług nauki,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teren usług kultu religijnego.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Ustala się warunki i zasady kształtowania zabudowy i zagospodarowania terenów, o których mowa w ust. </w:t>
      </w:r>
      <w:r>
        <w:rPr>
          <w:color w:val="000000"/>
          <w:u w:color="000000"/>
        </w:rPr>
        <w:t>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 czasowym lub stałym pobytem dzieci i młodzieży;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 towarzysząca zabudowie mieszkaniowej jednorodzinnej l</w:t>
      </w:r>
      <w:r>
        <w:rPr>
          <w:color w:val="000000"/>
          <w:u w:color="000000"/>
        </w:rPr>
        <w:t>ub usługowej, usytuowana na tej samej działce budowlanej.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terenie 6MN-U: 40%,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</w:t>
      </w:r>
      <w:r>
        <w:t>) </w:t>
      </w:r>
      <w:r>
        <w:rPr>
          <w:color w:val="000000"/>
          <w:u w:color="000000"/>
        </w:rPr>
        <w:t>na terenie 7MN-U: 30%,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pozostałych terenach: 20%;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2,5;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  <w:r>
        <w:rPr>
          <w:color w:val="000000"/>
          <w:u w:color="000000"/>
        </w:rPr>
        <w:t xml:space="preserve">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 – na terenach: 2MN-U i 6MN-U,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płaskie lub spadowe, kąt nachylenia połaci dachowych do 45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 xml:space="preserve">– na </w:t>
      </w:r>
      <w:r>
        <w:rPr>
          <w:color w:val="000000"/>
          <w:u w:color="000000"/>
        </w:rPr>
        <w:t>pozostałych terenach.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 xml:space="preserve">Dla terenów oznaczonych na rysunku planu symbolami: 3MN-U, 4MN-U, 5MN-U, 9MN-U, 10MN-U – tereny zabudowy mieszkaniowej jednorodzinnej lub usług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</w:t>
      </w:r>
      <w:r>
        <w:t> </w:t>
      </w:r>
      <w:r>
        <w:rPr>
          <w:color w:val="000000"/>
          <w:u w:color="000000"/>
        </w:rPr>
        <w:t>teren usług;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i grupowej,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teren usług handlu wielkopowierzchniowego,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teren usług handlu </w:t>
      </w:r>
      <w:r>
        <w:rPr>
          <w:color w:val="000000"/>
          <w:u w:color="000000"/>
        </w:rPr>
        <w:t>hurtowego,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rzemieślniczych,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turystyki,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usług nauki,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teren usług kultu religijnego.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</w:t>
      </w:r>
      <w:r>
        <w:rPr>
          <w:color w:val="000000"/>
          <w:u w:color="000000"/>
        </w:rPr>
        <w:t>w opieki społecznej i szpitali;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usług związanych z czasowym lub stałym pobytem dzieci i młodzieży – na terenach: 3MN-U, 4MN-U, 9MN-U, 10MN-U;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rozbudowę istniejących: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zabudowy pełniącej funkcje stacji obsługi pojazdów</w:t>
      </w:r>
      <w:r>
        <w:rPr>
          <w:color w:val="000000"/>
          <w:u w:color="000000"/>
        </w:rPr>
        <w:t xml:space="preserve"> i warsztatów samochodowych – na terenach: 3MN-U, 4MN-U i 9MN-U,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zakładów kamieniarskich – na terenach: 5MN-U i 10MN-U,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zabudowy mieszkaniowej wielorodzinnej – na terenach: 3MN-U, 5MN-U i 10MN-U;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dopuszcza się zmianę sposobu użytkowania </w:t>
      </w:r>
      <w:r>
        <w:rPr>
          <w:color w:val="000000"/>
          <w:u w:color="000000"/>
        </w:rPr>
        <w:t>istniejących budynków usługowych na budynki mieszkaniowe wielorodzinne – na terenach: 5MN-U i 9MN-U;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towarzysząca zabudowie mieszkaniowej jednorodzinnej lub usługowej, usytuowana na tej samej dzi</w:t>
      </w:r>
      <w:r>
        <w:rPr>
          <w:color w:val="000000"/>
          <w:u w:color="000000"/>
        </w:rPr>
        <w:t>ałce budowlanej,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zbiorowe – na terenach: 3MN-U i 5MN-U.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na terenie </w:t>
      </w:r>
      <w:r>
        <w:rPr>
          <w:color w:val="000000"/>
          <w:u w:color="000000"/>
        </w:rPr>
        <w:t>3MN-U: 30%,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terenach: 4MN-U, 5MN-U i 10MN-U: 40%,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terenie: 9MN-U: 20%;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2,5;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terenie 9MN-U: 60%,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pozostały</w:t>
      </w:r>
      <w:r>
        <w:rPr>
          <w:color w:val="000000"/>
          <w:u w:color="000000"/>
        </w:rPr>
        <w:t>ch terenach: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maksymalna wysokość budowli: 16,0 m, z zastrzeżeniem lit. b i c,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</w:t>
      </w:r>
    </w:p>
    <w:p w:rsidR="00A77B3E" w:rsidRDefault="00D01F03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terenie 5MN-U: 12,0 m,</w:t>
      </w:r>
    </w:p>
    <w:p w:rsidR="00A77B3E" w:rsidRDefault="00D01F03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pozostałych terenach: 10,0 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minimalna wysokość budynków na terenie 5MN-U: 8,0</w:t>
      </w:r>
      <w:r>
        <w:rPr>
          <w:color w:val="000000"/>
          <w:u w:color="000000"/>
        </w:rPr>
        <w:t xml:space="preserve">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 – na terenie 10MN-U,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płaskie lub spadowe, kąt nachylenia połaci dachowych do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 xml:space="preserve"> – na pozostałych terenach.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 xml:space="preserve">Dla terenów oznaczonych na rysunku planu symbolami: 12MN-U, 13MN-U, 14MN-U, 15MN-U, 16MN-U – tereny zabudowy mieszkaniowej jednorodzinnej lub usług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i grupowej,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handlu hurtowego,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</w:t>
      </w:r>
      <w:r>
        <w:rPr>
          <w:color w:val="000000"/>
          <w:u w:color="000000"/>
        </w:rPr>
        <w:t>g turystyki,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nauki,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teren usług kultu religijnego.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usłu</w:t>
      </w:r>
      <w:r>
        <w:rPr>
          <w:color w:val="000000"/>
          <w:u w:color="000000"/>
        </w:rPr>
        <w:t>g związanych z czasowym lub stałym pobytem dzieci i młodzieży;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ramach przeznaczenia, o którym mowa w ust. 1, dopuszcza się rozbudowę istniejącej zabudowy pełniącej funkcje stacji obsługi pojazdów i warsztatów samochodowych;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zabudowa garażowa może b</w:t>
      </w:r>
      <w:r>
        <w:rPr>
          <w:color w:val="000000"/>
          <w:u w:color="000000"/>
        </w:rPr>
        <w:t>yć realizowana wyłącznie jako towarzysząca zabudowie mieszkaniowej jednorodzinnej lub usługowej, usytuowana na tej samej działce budowlanej.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20%;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2,5;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</w:t>
      </w:r>
      <w:r>
        <w:rPr>
          <w:color w:val="000000"/>
          <w:u w:color="000000"/>
        </w:rPr>
        <w:t xml:space="preserve"> m,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 płaskie lub spadowe, kąt nachylenia połaci dachowych do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>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t>1. </w:t>
      </w:r>
      <w:r>
        <w:rPr>
          <w:color w:val="000000"/>
          <w:u w:color="000000"/>
        </w:rPr>
        <w:t xml:space="preserve">Dla terenu oznaczonego na rysunku planu symbolem 1MN-KOG – teren zabudowy mieszkaniowej jednorodzinnej lub garażu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garażu;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</w:t>
      </w:r>
      <w:r>
        <w:rPr>
          <w:color w:val="000000"/>
          <w:u w:color="000000"/>
        </w:rPr>
        <w:t>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 teren zabudowy mieszkaniowej jednorodzinnej szeregowej i grupowej.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usługi z zakresu usług nieuciążliwyc</w:t>
      </w:r>
      <w:r>
        <w:rPr>
          <w:color w:val="000000"/>
          <w:u w:color="000000"/>
        </w:rPr>
        <w:t>h dla zabudowy mieszkaniowej;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mogą być realizowane wyłącznie jako wbudowane w budynek mieszkalny;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towarzysząca zabudowie mieszkaniowej, usytuowana na tej samej działce budowlanej,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</w:t>
      </w:r>
      <w:r>
        <w:rPr>
          <w:color w:val="000000"/>
          <w:u w:color="000000"/>
        </w:rPr>
        <w:t>raże zbiorowe.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minimalny i maksymalny wskaźnik nadziemnej intensywności </w:t>
      </w:r>
      <w:r>
        <w:rPr>
          <w:color w:val="000000"/>
          <w:u w:color="000000"/>
        </w:rPr>
        <w:t>zabudowy: od 0,001 do 2,0;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</w:t>
      </w:r>
      <w:r>
        <w:rPr>
          <w:color w:val="000000"/>
          <w:u w:color="000000"/>
        </w:rPr>
        <w:t>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 lub spadowe, kąt nachylenia połaci dachowych do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>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garaży dachy płaskie.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t>1. </w:t>
      </w:r>
      <w:r>
        <w:rPr>
          <w:color w:val="000000"/>
          <w:u w:color="000000"/>
        </w:rPr>
        <w:t xml:space="preserve">Dla terenów oznaczonych na rysunku planu symbolami: 1U i 2U – tereny usług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usług;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hurtowego,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rzemieślniczych – na terenie 2U,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nauki,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</w:t>
      </w:r>
      <w:r>
        <w:rPr>
          <w:color w:val="000000"/>
          <w:u w:color="000000"/>
        </w:rPr>
        <w:t>g kultu religijnego.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domów opieki społecznej i szpitali – na terenie 1U;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zabudowa garażowa może być realizowana wyłącznie jako</w:t>
      </w:r>
      <w:r>
        <w:rPr>
          <w:color w:val="000000"/>
          <w:u w:color="000000"/>
        </w:rPr>
        <w:t xml:space="preserve"> garaże wbudowane;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</w:t>
      </w:r>
      <w:r>
        <w:rPr>
          <w:color w:val="000000"/>
          <w:u w:color="000000"/>
        </w:rPr>
        <w:t>logicznie czynnej: 40%;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2,0;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budowli, z zastrzeżeniem lit. b:</w:t>
      </w:r>
    </w:p>
    <w:p w:rsidR="00A77B3E" w:rsidRDefault="00D01F03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na terenie 1U: </w:t>
      </w:r>
      <w:r>
        <w:rPr>
          <w:color w:val="000000"/>
          <w:u w:color="000000"/>
        </w:rPr>
        <w:t>45,0 m,</w:t>
      </w:r>
    </w:p>
    <w:p w:rsidR="00A77B3E" w:rsidRDefault="00D01F03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na terenie 2U: 24,0 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18,0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 – na terenie 1U,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spadowe, kąt nachylenia połaci dachowych do 45° – na terenie 2U.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t>1. </w:t>
      </w:r>
      <w:r>
        <w:rPr>
          <w:color w:val="000000"/>
          <w:u w:color="000000"/>
        </w:rPr>
        <w:t>Dla</w:t>
      </w:r>
      <w:r>
        <w:rPr>
          <w:color w:val="000000"/>
          <w:u w:color="000000"/>
        </w:rPr>
        <w:t xml:space="preserve"> terenu oznaczonego na rysunku planu symbolem 1UR – teren usług kultu religijnego ustala się: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usług kultu religijnego;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Ustala się warunki i zasady kształtowania </w:t>
      </w:r>
      <w:r>
        <w:rPr>
          <w:color w:val="000000"/>
          <w:u w:color="000000"/>
        </w:rPr>
        <w:t>zabudowy i 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przeznaczenia, o którym mowa w ust. 1 dopuszcza się obiekty integralnie związane z prowadzoną działalnością kultu religijnego i służące jej realizacji takie jak: plebanie, domy parafia</w:t>
      </w:r>
      <w:r>
        <w:rPr>
          <w:color w:val="000000"/>
          <w:u w:color="000000"/>
        </w:rPr>
        <w:t>lne, sale katechetyczne i świetlice;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zabudowa garażowa może być realizowana wyłącznie jako: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wbudowane,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podziemne,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garaże zbiorowe w konstrukcji murowanej;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parking może być realizowany w formie parkingu terenowego lub miejsc </w:t>
      </w:r>
      <w:r>
        <w:rPr>
          <w:color w:val="000000"/>
          <w:u w:color="000000"/>
        </w:rPr>
        <w:t>postojowych.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40%;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</w:t>
      </w:r>
      <w:r>
        <w:rPr>
          <w:color w:val="000000"/>
          <w:u w:color="000000"/>
        </w:rPr>
        <w:t xml:space="preserve"> od 0,001 do 2,0;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25,0 m,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</w:t>
      </w:r>
    </w:p>
    <w:p w:rsidR="00A77B3E" w:rsidRDefault="00D01F03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kościoła pw. Michała Archanioła wraz z wieżą: 30,0 m,</w:t>
      </w:r>
    </w:p>
    <w:p w:rsidR="00A77B3E" w:rsidRDefault="00D01F03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dla </w:t>
      </w:r>
      <w:r>
        <w:rPr>
          <w:color w:val="000000"/>
          <w:u w:color="000000"/>
        </w:rPr>
        <w:t>pozostałych budynków: 12,0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dachy – wszystkie formy i konstrukcje.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color w:val="000000"/>
          <w:u w:color="000000"/>
        </w:rPr>
        <w:t>Dla terenu oznaczonego na rysunku planu symbolem 1U-INS – teren usług lub stacji paliw płynnych ustala się: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stacji paliw płynnych;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wykluczone: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turystyki,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usług zdrowia i pomocy społecznej,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usług nauki,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 usług kultu religijnego.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usług związanych z czasowym lub stałym pobytem dzieci i młodzieży;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>ramach przeznaczenia, o którym mowa w ust. 1 dopuszcza się zabudowę pełniącą funkcje stacji obsługi pojazdów i warsztaty samochodowe;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</w:t>
      </w:r>
      <w:r>
        <w:rPr>
          <w:color w:val="000000"/>
          <w:u w:color="000000"/>
        </w:rPr>
        <w:t>ształtowania zabudowy oraz 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10%;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1,0;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</w:t>
      </w:r>
      <w:r>
        <w:rPr>
          <w:color w:val="000000"/>
          <w:u w:color="000000"/>
        </w:rPr>
        <w:t>ni zabudowy: 50%;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color w:val="000000"/>
          <w:u w:color="000000"/>
        </w:rPr>
        <w:t>Dla terenów oznaczonych na rysunku planu sym</w:t>
      </w:r>
      <w:r>
        <w:rPr>
          <w:color w:val="000000"/>
          <w:u w:color="000000"/>
        </w:rPr>
        <w:t xml:space="preserve">bolami: 1KDL i 2KDL ustala się przeznaczenie: teren drogi lokalnej.  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 (przy uwzględnieniu stanu istniejącego):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dla terenu 1KDL: od 9,2 m do 15,4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2KDL: od 8,0 m do 21,0 m,</w:t>
      </w:r>
    </w:p>
    <w:p w:rsidR="00A77B3E" w:rsidRDefault="00D01F03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 lokalnymi p</w:t>
      </w:r>
      <w:r>
        <w:rPr>
          <w:color w:val="000000"/>
          <w:u w:color="000000"/>
        </w:rPr>
        <w:t>oszerzeniami w obrębie skrzyżowań – zgodnie z rysunkiem planu.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>Dla terenów oznaczonych na rysunku planu symbolami: 1KDD, 2KDD, 3KDD, 4KDD, 5KDD, 6KDD, 7KDD, 8KDD, 9KDD, 10KDD, 11KDD, 12KDD, 13KDD, 14KDD, 15KDD, 16KDD, 17KDD, 18KDD ustala się przez</w:t>
      </w:r>
      <w:r>
        <w:rPr>
          <w:color w:val="000000"/>
          <w:u w:color="000000"/>
        </w:rPr>
        <w:t xml:space="preserve">naczenie: teren drogi dojazdowej. 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 (przy uwzględnieniu stanu istniejącego):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1KDD: od 6,0 m do 12,5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2KDD: od 5,0 m do 17,0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3KDD: od 6,0 m do 12,0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t</w:t>
      </w:r>
      <w:r>
        <w:rPr>
          <w:color w:val="000000"/>
          <w:u w:color="000000"/>
        </w:rPr>
        <w:t>erenu 4KDD: od 7,0 m do 33,0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terenu 5KDD: od 5,0 m do 7,6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dla terenu 6KDD: od 5,0 m do 9,8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dla terenu 7KDD: od 7,4 m do 14,0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dla terenu 8KDD: od 9,3 m do 14,0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dla terenu 9KDD: od 5,0 m do 6,0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dla terenu 10KDD: od </w:t>
      </w:r>
      <w:r>
        <w:rPr>
          <w:color w:val="000000"/>
          <w:u w:color="000000"/>
        </w:rPr>
        <w:t>7,0 m do 19,0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dla terenu 11KDD: od 5,0 m do 8,0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dla terenu 12KDD: od 5,0 m do 8,0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dla terenu 13KDD: od 5,6 m do 8,0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dla terenu 14KDD: od 7,0 m do 18,2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dla terenu 15KDD: od 5,0 m do 7,0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dla terenu 16KDD: od 9,4 m do</w:t>
      </w:r>
      <w:r>
        <w:rPr>
          <w:color w:val="000000"/>
          <w:u w:color="000000"/>
        </w:rPr>
        <w:t xml:space="preserve"> 10,2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dla terenu 17KDD: od 2,5 m do 9,7 m (dotyczy części na terenie Gminy Bytom);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dla terenu 18KDD: od 9,5 m do 14,8 m,</w:t>
      </w:r>
    </w:p>
    <w:p w:rsidR="00A77B3E" w:rsidRDefault="00D01F03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 lokalnymi poszerzeniami w obrębie skrzyżowań – zgodnie z rysunkiem planu.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t>1. </w:t>
      </w:r>
      <w:r>
        <w:rPr>
          <w:color w:val="000000"/>
          <w:u w:color="000000"/>
        </w:rPr>
        <w:t>Dla terenów oznaczonych na rysunku plan</w:t>
      </w:r>
      <w:r>
        <w:rPr>
          <w:color w:val="000000"/>
          <w:u w:color="000000"/>
        </w:rPr>
        <w:t>u symbolami: 1KR, 2KR, 3KR, 4KR, 5KR, ustala się przeznaczenie: komunikacja drogowa wewnętrzna.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1KR: od 9,2 m do 11,4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2KR: od 5,0 m do 12,0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3KR: od 2,8 m d</w:t>
      </w:r>
      <w:r>
        <w:rPr>
          <w:color w:val="000000"/>
          <w:u w:color="000000"/>
        </w:rPr>
        <w:t>o 8,5 m (przy uwzględnieniu stanu istniejącego);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dla terenu 4KR: od 4,5 m do 5,0 m,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terenu 5KR: od 9,8 m do 10,2 m, przy czym plac do zawracania: 17,0 m,</w:t>
      </w:r>
    </w:p>
    <w:p w:rsidR="00A77B3E" w:rsidRDefault="00D01F03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 lokalnymi poszerzeniami w obrębie skrzyżowań – zgodnie z rysunkiem planu.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t>1. </w:t>
      </w:r>
      <w:r>
        <w:rPr>
          <w:color w:val="000000"/>
          <w:u w:color="000000"/>
        </w:rPr>
        <w:t>Dla ter</w:t>
      </w:r>
      <w:r>
        <w:rPr>
          <w:color w:val="000000"/>
          <w:u w:color="000000"/>
        </w:rPr>
        <w:t xml:space="preserve">enu oznaczonego na rysunku planu symbolem 1KOG – teren garażu, ustala się: 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garażu;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</w:t>
      </w:r>
      <w:r>
        <w:rPr>
          <w:color w:val="000000"/>
          <w:u w:color="000000"/>
        </w:rPr>
        <w:t>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zabudowa garażowa może być realizowana wyłącznie jako garaże zbiorowe;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kształtowania zabudowy oraz zagospodarowania terenu, </w:t>
      </w:r>
      <w:r>
        <w:rPr>
          <w:color w:val="000000"/>
          <w:u w:color="000000"/>
        </w:rPr>
        <w:t>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 1,0;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90%;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</w:t>
      </w:r>
      <w:r>
        <w:rPr>
          <w:color w:val="000000"/>
          <w:u w:color="000000"/>
        </w:rPr>
        <w:t xml:space="preserve"> wysokość budowli: 16,0 m,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garaży: 3,0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płaskie.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33. </w:t>
      </w:r>
      <w:r>
        <w:t>1. </w:t>
      </w:r>
      <w:r>
        <w:rPr>
          <w:color w:val="000000"/>
          <w:u w:color="000000"/>
        </w:rPr>
        <w:t>Dla terenu oznaczonego na rysunku planu symbolem 1WS-ZP – teren wód powierzchniowych śródlądowych lu</w:t>
      </w:r>
      <w:r>
        <w:rPr>
          <w:color w:val="000000"/>
          <w:u w:color="000000"/>
        </w:rPr>
        <w:t>b zieleni urządzonej ustala się: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wód powierzchniowych śródlądowych,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zieleni urządzonej;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zieleni naturalnej.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</w:t>
      </w:r>
      <w:r>
        <w:rPr>
          <w:color w:val="000000"/>
          <w:u w:color="000000"/>
        </w:rPr>
        <w:t>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80%;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budynków;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ramach przeznaczenia, którym mowa w ust. 1 dopuszcza się realizację: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urządzeń wodnych,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terenowych urządzeń sportowych.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 maksymalna wysokość budowli: 16,0 m.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34. </w:t>
      </w:r>
      <w:r>
        <w:t>1. </w:t>
      </w:r>
      <w:r>
        <w:rPr>
          <w:color w:val="000000"/>
          <w:u w:color="000000"/>
        </w:rPr>
        <w:t>Dla terenu oznaczonego na rysunku planu symbolem 1ZN – tereny zieleni naturalnej ustala się: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zieleni naturalnej;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zieleni urządzonej.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 zakaz realizacji budynków.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</w:t>
      </w:r>
      <w:r>
        <w:rPr>
          <w:color w:val="000000"/>
          <w:u w:color="000000"/>
        </w:rPr>
        <w:t> wskaźniki kształtowania zabudowy oraz 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udział powierzchni biologicznie czynnej: 80%;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maksymalna wysokość </w:t>
      </w:r>
      <w:r>
        <w:rPr>
          <w:color w:val="000000"/>
          <w:u w:color="000000"/>
        </w:rPr>
        <w:t>budowli infrastruktury przesyłowej sieci elektroenergetycznej: 40,0 m.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35. </w:t>
      </w:r>
      <w:r>
        <w:t>1. </w:t>
      </w:r>
      <w:r>
        <w:rPr>
          <w:color w:val="000000"/>
          <w:u w:color="000000"/>
        </w:rPr>
        <w:t>Dla terenów oznaczonych na rysunku planu symbolami: 1ZP i 2ZP – tereny zieleni urządzonej ustala się przeznaczenie: teren zieleni urządzonej.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</w:t>
      </w:r>
      <w:r>
        <w:rPr>
          <w:color w:val="000000"/>
          <w:u w:color="000000"/>
        </w:rPr>
        <w:t>tałtowania zabudowy i 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budynków;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ramach przeznaczenia, którym mowa w ust. 1 dopuszcza się realizację zieleni izolacyjnej.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parametry i wskaźniki kształtowania zabudowy </w:t>
      </w:r>
      <w:r>
        <w:rPr>
          <w:color w:val="000000"/>
          <w:u w:color="000000"/>
        </w:rPr>
        <w:t>oraz zagospodarowania terenów, o których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terenu 1ZP: 50%,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terenu 2ZP: 80%;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maksymalna wysokość budowli: 16,0 m.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36. </w:t>
      </w:r>
      <w:r>
        <w:t>1. </w:t>
      </w:r>
      <w:r>
        <w:rPr>
          <w:color w:val="000000"/>
          <w:u w:color="000000"/>
        </w:rPr>
        <w:t>Dla terenu oznaczonego na rysunku planu symbole</w:t>
      </w:r>
      <w:r>
        <w:rPr>
          <w:color w:val="000000"/>
          <w:u w:color="000000"/>
        </w:rPr>
        <w:t>m 1CC – teren cmentarza czynnego ustala się: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cmentarza czynnego;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parkingu.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 xml:space="preserve">w ramach </w:t>
      </w:r>
      <w:r>
        <w:rPr>
          <w:color w:val="000000"/>
          <w:u w:color="000000"/>
        </w:rPr>
        <w:t>przeznaczenia dopuszcza się realizację: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miejsc pochówku, w tym kolumbariów,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kaplic,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budynków administracji i obsługi cmentarza;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parking może być realizowany w formie parkingu terenowego lub miejsc postojowych.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</w:t>
      </w:r>
      <w:r>
        <w:rPr>
          <w:color w:val="000000"/>
          <w:u w:color="000000"/>
        </w:rPr>
        <w:t>wskaźniki kształtowania zabudowy oraz zagospodarowania terenu, o którym mowa w ust. 1: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0,001 do 1,0;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</w:t>
      </w:r>
      <w:r>
        <w:rPr>
          <w:color w:val="000000"/>
          <w:u w:color="000000"/>
        </w:rPr>
        <w:t>i zabudowy: 30%;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dachy – wszystkie formy i konstrukcje, przy c</w:t>
      </w:r>
      <w:r>
        <w:rPr>
          <w:color w:val="000000"/>
          <w:u w:color="000000"/>
        </w:rPr>
        <w:t>zym dla dachów spadowych kąt nachylenia połaci dachowych do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</w:t>
      </w:r>
    </w:p>
    <w:p w:rsidR="00A77B3E" w:rsidRDefault="00D01F03">
      <w:pPr>
        <w:keepNext/>
        <w:jc w:val="center"/>
        <w:rPr>
          <w:color w:val="000000"/>
          <w:u w:color="000000"/>
        </w:rPr>
      </w:pPr>
      <w:r>
        <w:rPr>
          <w:b/>
        </w:rPr>
        <w:t>Rozdział 14.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37.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38. </w:t>
      </w:r>
      <w:r>
        <w:rPr>
          <w:color w:val="000000"/>
          <w:u w:color="000000"/>
        </w:rPr>
        <w:t>Uchwała wchodzi w życie po upływie 14 dni od dnia jej ogłoszenia w Dzienniku Urzędowym Województwa Śląskiego.</w:t>
      </w:r>
    </w:p>
    <w:p w:rsidR="00A77B3E" w:rsidRDefault="00D01F03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 xml:space="preserve">Załącznik  nr  </w:t>
      </w:r>
      <w:r>
        <w:t>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D01F03">
      <w:pPr>
        <w:spacing w:before="120" w:after="120" w:line="276" w:lineRule="auto"/>
        <w:ind w:left="462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 2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dnia....................2026 r.</w:t>
      </w:r>
    </w:p>
    <w:p w:rsidR="00A77B3E" w:rsidRDefault="00D01F03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rozpatrzenia nieuwzględnionych uwag do projektu planu</w:t>
      </w:r>
    </w:p>
    <w:p w:rsidR="00A77B3E" w:rsidRDefault="00D01F03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art. 20 ust. 1 ustawy z dnia 27 marca 2003 r. o planowaniu i zagospodarowaniu przestrzennym (Dz. U. z 2026 r. poz. 538) oraz art. 67 ust. 3 ustawy z dnia 7 lipca </w:t>
      </w:r>
      <w:r>
        <w:rPr>
          <w:color w:val="000000"/>
          <w:u w:color="000000"/>
        </w:rPr>
        <w:t>2023 r. o zmianie ustawy o planowaniu i zagospodarowaniu przestrzennym oraz niektórych innych ustaw (Dz. U. z 2023 r. poz. 1688) rozstrzyga się, co następuje: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Nie uwzględnia się uwagi, nieuwzględnionej przez Prezydenta Miasta, zgłoszonej do wyłożon</w:t>
      </w:r>
      <w:r>
        <w:rPr>
          <w:color w:val="000000"/>
          <w:u w:color="000000"/>
        </w:rPr>
        <w:t>ego do publicznego wglądu projektu planu, wyszczególnionej pod nr 1 w „Wykazie uwag zgłoszonych do wyłożonego do publicznego wglądu projektu miejscowego planu zagospodarowania przestrzennego Gminy Bytom – etap VII – dla terenu położonego w rejonie ulic: St</w:t>
      </w:r>
      <w:r>
        <w:rPr>
          <w:color w:val="000000"/>
          <w:u w:color="000000"/>
        </w:rPr>
        <w:t>rzelców Bytomskich i Księdza Prymasa Stefana Wyszyńskiego” zamieszczonym w dokumentacji prac planistycznych i dotyczącej zmniejszenia maksymalnej wysokości budowli na terenie oznaczonym symbolem 1U wynoszącej 45,0 m, celem uniemożliwienia realizacji na tym</w:t>
      </w:r>
      <w:r>
        <w:rPr>
          <w:color w:val="000000"/>
          <w:u w:color="000000"/>
        </w:rPr>
        <w:t xml:space="preserve"> terenie stacji bazowej telefonii komórkowej.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 uwzględnia się uwagi, o której mowa w ust. 1, ponieważ jej uwzględnienie naruszałoby zapisy ustawy z dnia 7 maja 2010 r. o wspieraniu rozwoju usług i sieci telekomunikacyjnych (Dz. U. z 2026 r. poz. </w:t>
      </w:r>
      <w:r>
        <w:rPr>
          <w:color w:val="000000"/>
          <w:u w:color="000000"/>
        </w:rPr>
        <w:t>562). Zgodnie z art. 46 ust. 1 tejże ustawy, miejscowy plan zagospodarowania przestrzennego nie może ustanawiać zakazów, a przyjmowane w nim rozwiązania nie mogą uniemożliwiać lokalizowania inwestycji celu publicznego z zakresu łączności publicznej, w rozu</w:t>
      </w:r>
      <w:r>
        <w:rPr>
          <w:color w:val="000000"/>
          <w:u w:color="000000"/>
        </w:rPr>
        <w:t>mieniu przepisów ustawy z dnia 21 sierpnia 1997 r. o gospodarce nieruchomościami, jeżeli taka inwestycja jest zgodna z przepisami odrębnymi. Ponadto, w treści art. 46 ust. 2 ww. ustawy określono wprost, iż przeznaczenie terenu na cele zabudowy wielorodzinn</w:t>
      </w:r>
      <w:r>
        <w:rPr>
          <w:color w:val="000000"/>
          <w:u w:color="000000"/>
        </w:rPr>
        <w:t>ej, rolnicze, leśne, usługowe lub produkcyjne nie jest sprzeczne z lokalizacją inwestycji celu publicznego z zakresu łączności publicznej.</w:t>
      </w:r>
    </w:p>
    <w:p w:rsidR="00A77B3E" w:rsidRDefault="00D01F03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Wobec powyższych, zmniejszenie maksymalnej wysokości zabudowy lub też wprowadzenie jakichkolwiek innych zapisów planu</w:t>
      </w:r>
      <w:r>
        <w:rPr>
          <w:color w:val="000000"/>
          <w:u w:color="000000"/>
        </w:rPr>
        <w:t>, skutkujących uniemożliwieniem realizacji stacji bazowej telefonii komórkowej byłoby sprzeczne z przepisami przywołanej wyżej ustawy.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Nie uwzględnia się uwag, nieuwzględnionych przez Prezydenta Miasta, zgłoszonych do wyłożonego do publicznego wglą</w:t>
      </w:r>
      <w:r>
        <w:rPr>
          <w:color w:val="000000"/>
          <w:u w:color="000000"/>
        </w:rPr>
        <w:t>du projektu planu, wyszczególnionych od nr 2 do nr 11 (uwagi o jednakowej treści) w „Wykazie uwag zgłoszonych do wyłożonego do publicznego wglądu projektu miejscowego planu zagospodarowania przestrzennego Gminy Bytom – etap VII – dla terenu położonego w re</w:t>
      </w:r>
      <w:r>
        <w:rPr>
          <w:color w:val="000000"/>
          <w:u w:color="000000"/>
        </w:rPr>
        <w:t>jonie ulic: Strzelców Bytomskich i Księdza Prymasa Stefana Wyszyńskiego” zamieszczonym w dokumentacji prac planistycznych i dotyczących braku zgody na realizację stacji bazowej telefonii komórkowej na terenie 1U.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 xml:space="preserve">Nie uwzględnia się uwag, o których mowa </w:t>
      </w:r>
      <w:r>
        <w:rPr>
          <w:color w:val="000000"/>
          <w:u w:color="000000"/>
        </w:rPr>
        <w:t>w ust. 1, ponieważ ich uwzględnienie naruszałoby zapisy ustawy z dnia 7 maja 2010 r. o wspieraniu rozwoju usług i sieci telekomunikacyjnych (Dz. U. z 2026 r. poz. 562). Zgodnie z art. 46 ust. 1 tejże ustawy, miejscowy plan zagospodarowania przestrzennego n</w:t>
      </w:r>
      <w:r>
        <w:rPr>
          <w:color w:val="000000"/>
          <w:u w:color="000000"/>
        </w:rPr>
        <w:t>ie może ustanawiać zakazów, a przyjmowane w nim rozwiązania nie mogą uniemożliwiać lokalizowania inwestycji celu publicznego z zakresu łączności publicznej, w rozumieniu przepisów ustawy z dnia 21 sierpnia 1997 r. o gospodarce nieruchomościami, jeżeli taka</w:t>
      </w:r>
      <w:r>
        <w:rPr>
          <w:color w:val="000000"/>
          <w:u w:color="000000"/>
        </w:rPr>
        <w:t xml:space="preserve"> inwestycja jest zgodna z przepisami odrębnymi. Ponadto, w treści art. 46 ust. 2 ww. ustawy określono wprost, iż przeznaczenie terenu na cele zabudowy wielorodzinnej, rolnicze, leśne, usługowe lub produkcyjne nie jest sprzeczne z lokalizacją inwestycji cel</w:t>
      </w:r>
      <w:r>
        <w:rPr>
          <w:color w:val="000000"/>
          <w:u w:color="000000"/>
        </w:rPr>
        <w:t>u publicznego z zakresu łączności publicznej.</w:t>
      </w:r>
    </w:p>
    <w:p w:rsidR="00A77B3E" w:rsidRDefault="00D01F03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Wobec powyższych, wprowadzenie jakichkolwiek zapisów planu, skutkujących uniemożliwieniem realizacji stacji bazowej telefonii komórkowej byłoby sprzeczne z przepisami przywołanej wyżej ustawy.</w:t>
      </w:r>
    </w:p>
    <w:p w:rsidR="00A77B3E" w:rsidRDefault="00D01F03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Jednocześnie należy zauważyć, iż plan miejscowy nie odnosi się wprost do realizacji konkretnych inwestycji (obiektów) i nie przesądza o możliwości ich realizacji, a jedynie umożliwia </w:t>
      </w:r>
      <w:r>
        <w:rPr>
          <w:color w:val="000000"/>
          <w:u w:color="000000"/>
        </w:rPr>
        <w:t>realizację inwestycji zgodnych z określonym przeznaczeniem terenu.</w:t>
      </w:r>
    </w:p>
    <w:p w:rsidR="00A77B3E" w:rsidRDefault="00D01F03">
      <w:pPr>
        <w:keepNext/>
        <w:spacing w:before="120" w:after="120" w:line="276" w:lineRule="auto"/>
        <w:ind w:left="462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 3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dnia....................2026 r.</w:t>
      </w:r>
    </w:p>
    <w:p w:rsidR="00A77B3E" w:rsidRDefault="00D01F03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realizacji, zapisanych w planie inwestycji, z zakresu</w:t>
      </w:r>
      <w:r>
        <w:rPr>
          <w:b/>
          <w:color w:val="000000"/>
          <w:u w:color="000000"/>
        </w:rPr>
        <w:t xml:space="preserve"> infrastruktury technicznej, które należą do zadań własnych gminy oraz zasadach ich finansowania, zgodnie z przepisami o finansach publicznych</w:t>
      </w:r>
    </w:p>
    <w:p w:rsidR="00A77B3E" w:rsidRDefault="00D01F03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art. 20 ust. 1 ustawy z dnia 27 marca 2003 r. o planowaniu i zagospodarowaniu przestrzennym (Dz. U. </w:t>
      </w:r>
      <w:r>
        <w:rPr>
          <w:color w:val="000000"/>
          <w:u w:color="000000"/>
        </w:rPr>
        <w:t>z 2026 r. poz. 538) rozstrzyga się, co następuje: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W związku z uchwaleniem miejscowego planu zagospodarowania przestrzennego Gminy Bytom – etap VII – dla terenu położonego w rejonie ulic: Strzelców Bytomskich i Księdza Prymasa Stefana Wyszyńskiego, </w:t>
      </w:r>
      <w:r>
        <w:rPr>
          <w:color w:val="000000"/>
          <w:u w:color="000000"/>
        </w:rPr>
        <w:t>Gmina Bytom może ponieść wydatki na inwestycje z zakresu infrastruktury technicznej i dróg.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Źródłem finansowania inwestycji, o których mowa w ust. 1 będą: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budżet gminy;</w:t>
      </w:r>
    </w:p>
    <w:p w:rsidR="00A77B3E" w:rsidRDefault="00D01F03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współfinansowanie środkami zewnętrznymi, poprzez budżet gminy – w ramach m. in</w:t>
      </w:r>
      <w:r>
        <w:rPr>
          <w:color w:val="000000"/>
          <w:u w:color="000000"/>
        </w:rPr>
        <w:t>.: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dotacji unijnych,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dotacji samorządu województwa,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dotacji i pożyczek z funduszy celowych,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kredytów i pożyczek bankowych,</w:t>
      </w:r>
    </w:p>
    <w:p w:rsidR="00A77B3E" w:rsidRDefault="00D01F03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innych środków zewnętrznych.</w:t>
      </w:r>
    </w:p>
    <w:p w:rsidR="00A77B3E" w:rsidRDefault="00D01F03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Prognozowany okres realizacji inwestycji, wymienionych w § 1 ust. 1 przyjmuje się sukcesywnie, w miarę pozyskiwania środków finansowych oraz w oparciu o aktualne potrzeby mieszkańców, określane w budżetach rocznych.</w:t>
      </w:r>
    </w:p>
    <w:p w:rsidR="00A77B3E" w:rsidRDefault="00D01F03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 nr  4 do uchwały</w:t>
      </w:r>
      <w:r>
        <w:rPr>
          <w:color w:val="000000"/>
          <w:u w:color="000000"/>
        </w:rPr>
        <w:t xml:space="preserve"> Nr .........</w:t>
      </w:r>
      <w:r>
        <w:rPr>
          <w:color w:val="000000"/>
          <w:u w:color="000000"/>
        </w:rPr>
        <w:t>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Zalacznik4.gml</w:t>
        </w:r>
      </w:hyperlink>
    </w:p>
    <w:p w:rsidR="00A77B3E" w:rsidRDefault="00D01F03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Dane przestrzenne, o których mowa w art. 67a ust. 3 i 5 us</w:t>
      </w:r>
      <w:r>
        <w:rPr>
          <w:b/>
          <w:color w:val="000000"/>
          <w:u w:color="000000"/>
        </w:rPr>
        <w:t>tawy z dnia 27 marca 2003 r. o planowaniu i zagospodarowaniu przestrzennym (j.t. Dz.U. z 2020 r. poz. 293 z późn. zm.) ujawnione zostaną po kliknięciu w ikonę</w:t>
      </w:r>
    </w:p>
    <w:p w:rsidR="006541B1" w:rsidRDefault="006541B1">
      <w:pPr>
        <w:rPr>
          <w:rFonts w:eastAsia="Times New Roman" w:cs="Times New Roman"/>
          <w:szCs w:val="20"/>
        </w:rPr>
      </w:pPr>
    </w:p>
    <w:p w:rsidR="006541B1" w:rsidRDefault="00D01F0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Miejscowy plan zagospodarowania przestrzennego Gminy Bytom – etap VII – dla terenu </w:t>
      </w:r>
      <w:r>
        <w:rPr>
          <w:rFonts w:eastAsia="Times New Roman" w:cs="Times New Roman"/>
          <w:szCs w:val="20"/>
        </w:rPr>
        <w:t>położonego w rejonie ulic: Strzelców Bytomskich i Księdza Prymasa Stefana Wyszyńskiego opracowany został na podstawie uchwały nr LXXII/915/22  Rady Miejskiej w Bytomiu z dnia 19 grudnia 2022 r. w sprawie przystąpienia do sporządzenia miejscowego planu zago</w:t>
      </w:r>
      <w:r>
        <w:rPr>
          <w:rFonts w:eastAsia="Times New Roman" w:cs="Times New Roman"/>
          <w:szCs w:val="20"/>
        </w:rPr>
        <w:t>spodarowania przestrzennego Gminy Bytom i stanowi VII etap realizacji tejże uchwały.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 powierzchni ok. 112,5 ha obejmuje teren położony w północno-wschodniej części Bytomia, ograniczony: od północy i wschodu granicą z miastami Tar</w:t>
      </w:r>
      <w:r>
        <w:rPr>
          <w:rFonts w:eastAsia="Times New Roman" w:cs="Times New Roman"/>
          <w:szCs w:val="20"/>
        </w:rPr>
        <w:t>nowskie Góry i Radzionków, od południa ul. Długą oraz od zachodu odcinkiem ul. Strzelców Bytomskich.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</w:t>
      </w:r>
      <w:r>
        <w:rPr>
          <w:rFonts w:eastAsia="Times New Roman" w:cs="Times New Roman"/>
          <w:szCs w:val="20"/>
        </w:rPr>
        <w:t>rzestrzennego Gminy Bytom”, przyjętego uchwałą nr XVI/204/11 Rady Miejskiej w Bytomiu z dnia 24 sierpnia 2011 r., zmienionego uchwałą nr X/120/13 Rady Miejskiej w Bytomiu z dnia 25 lutego 2013 r., uchwałą nr XXXVIII/485/17 Rady Miejskiej w Bytomiu z dnia 2</w:t>
      </w:r>
      <w:r>
        <w:rPr>
          <w:rFonts w:eastAsia="Times New Roman" w:cs="Times New Roman"/>
          <w:szCs w:val="20"/>
        </w:rPr>
        <w:t>7 lutego 2017 r., uchwałą nr LXI/814/18 Rady Miejskiej w Bytomiu z dnia 26 marca 2018 r., uchwałą nr LXIV/839/18 Rady Miejskiej w Bytomiu z dnia 28 maja 2018 r., uchwałą nr XXXII/463/20 Rady Miejskiej w Bytomiu z dnia 28 września 2020 r., uchwałą nr XL/549</w:t>
      </w:r>
      <w:r>
        <w:rPr>
          <w:rFonts w:eastAsia="Times New Roman" w:cs="Times New Roman"/>
          <w:szCs w:val="20"/>
        </w:rPr>
        <w:t>/21 Rady Miejskiej w Bytomiu z dnia 22 lutego 2021 r., uchwałą nr LXXVI/968/23 Rady Miejskiej w Bytomiu z dnia 27 marca 2023 r., uchwałą nr LXXX/1008/23 Rady Miejskiej w Bytomiu z dnia 26 czerwca 2023 r. oraz uchwałą nr LXXXVI/1078/23 Rady Miejskiej w Byto</w:t>
      </w:r>
      <w:r>
        <w:rPr>
          <w:rFonts w:eastAsia="Times New Roman" w:cs="Times New Roman"/>
          <w:szCs w:val="20"/>
        </w:rPr>
        <w:t>miu z dnia 27 listopada 2023 r.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2026 r. poz. 538) w szczególności na podstawie art. 17 tej ustawy oraz w związk</w:t>
      </w:r>
      <w:r>
        <w:rPr>
          <w:rFonts w:eastAsia="Times New Roman" w:cs="Times New Roman"/>
          <w:szCs w:val="20"/>
        </w:rPr>
        <w:t>u z art. 67 ust 3 ustawy z dnia 7 lipca 2023 r. o zmianie ustawy o planowaniu i zagospodarowaniu przestrzennym oraz niektórych innych ustaw (Dz. U. z 2023 r. poz. 1688).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 ustawy o planowaniu i zago</w:t>
      </w:r>
      <w:r>
        <w:rPr>
          <w:rFonts w:eastAsia="Times New Roman" w:cs="Times New Roman"/>
          <w:szCs w:val="20"/>
        </w:rPr>
        <w:t>spodarowaniu przestrzennym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</w:t>
      </w:r>
      <w:r>
        <w:rPr>
          <w:rFonts w:eastAsia="Times New Roman" w:cs="Times New Roman"/>
          <w:szCs w:val="20"/>
        </w:rPr>
        <w:t>aźniki zagospodarowania terenu. Zapisy te zapewniają uwzględnienie w przedmiotowym opracowaniu wymagań ładu przestrzennego, w tym urbanistyki i architektury.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</w:t>
      </w:r>
      <w:r>
        <w:rPr>
          <w:rFonts w:eastAsia="Times New Roman" w:cs="Times New Roman"/>
          <w:szCs w:val="20"/>
        </w:rPr>
        <w:t>sad kształtowania zabudowy i zagospodarowania terenów, jak również zasad kształtowania krajobrazu, w tym m. in. w zakresie stosowania materiałów elewacyjnych i kolorystyki elewacji budynków. Są to czynniki wpływające niewątpliwie na możliwość kształtowania</w:t>
      </w:r>
      <w:r>
        <w:rPr>
          <w:rFonts w:eastAsia="Times New Roman" w:cs="Times New Roman"/>
          <w:szCs w:val="20"/>
        </w:rPr>
        <w:t xml:space="preserve"> krajobrazu </w:t>
      </w:r>
      <w:r>
        <w:rPr>
          <w:rFonts w:eastAsia="Times New Roman" w:cs="Times New Roman"/>
          <w:szCs w:val="20"/>
        </w:rPr>
        <w:lastRenderedPageBreak/>
        <w:t>i architektury oraz ochronę występujących na tym terenie walorów tak architektonicznych jak i krajobrazowych.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</w:t>
      </w:r>
      <w:r>
        <w:rPr>
          <w:rFonts w:eastAsia="Times New Roman" w:cs="Times New Roman"/>
          <w:szCs w:val="20"/>
        </w:rPr>
        <w:t>nu miejscowego zawiera ustalenia dotyczące zasad ochrony środowiska, przyrody i krajobrazu kulturowego, odnoszące się m. in. do gospodarowania wodami i ich ochrony, klasyfikacji terenów pod kątem ochrony akustycznej i ochrony przed promieniowaniem elektrom</w:t>
      </w:r>
      <w:r>
        <w:rPr>
          <w:rFonts w:eastAsia="Times New Roman" w:cs="Times New Roman"/>
          <w:szCs w:val="20"/>
        </w:rPr>
        <w:t>agnetycznym, ochrony powietrza, ochrony powierzchni ziemi oraz postępowania z odpadami.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Tereny położone w północnej części projektu planu miejscowego ujęte są w Specjalnym Obszarze Ochrony Siedlisk Natura 2000 „Podziemia Tarnogórsko-Bytomskie”, dla którego</w:t>
      </w:r>
      <w:r>
        <w:rPr>
          <w:rFonts w:eastAsia="Times New Roman" w:cs="Times New Roman"/>
          <w:szCs w:val="20"/>
        </w:rPr>
        <w:t xml:space="preserve"> ustalono realizację zabudowy i zagospodarowania terenów, w tym lokalizowania inwestycji i przedsięwzięć – zgodnie z planem zadań ochronnych wydanym zarządzeniem Regionalnego Dyrektora Ochrony Środowiska w Katowicach z dnia 24 kwietnia 2014 r. w sprawie us</w:t>
      </w:r>
      <w:r>
        <w:rPr>
          <w:rFonts w:eastAsia="Times New Roman" w:cs="Times New Roman"/>
          <w:szCs w:val="20"/>
        </w:rPr>
        <w:t>tanowienia planu zadań ochronnych dla obszaru Natura 2000 Podziemia Tarnogórsko-Bytomskie PLH240003, zmienionym zarządzeniem Regionalnego Dyrektora Ochrony Środowiska w Katowicach z dnia 18 maja 2015 r. o zmianie zarządzenia w sprawie ustanowienia planu za</w:t>
      </w:r>
      <w:r>
        <w:rPr>
          <w:rFonts w:eastAsia="Times New Roman" w:cs="Times New Roman"/>
          <w:szCs w:val="20"/>
        </w:rPr>
        <w:t>dań ochronnych dla obszaru Natura 2000 Podziemia Tarnogórsko-Bytomskie PLH240003 oraz zmienionym zarządzeniem Regionalnego Dyrektora Ochrony Środowiska w Katowicach z dnia 20 lipca 2023 r. o zmianie zarządzenia w sprawie ustanowienia planu zadań ochronnych</w:t>
      </w:r>
      <w:r>
        <w:rPr>
          <w:rFonts w:eastAsia="Times New Roman" w:cs="Times New Roman"/>
          <w:szCs w:val="20"/>
        </w:rPr>
        <w:t xml:space="preserve"> dla obszaru Natura 2000 Podziemia Tarnogórsko-Bytomskie PLH240003.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Równocześnie, część obszaru planu położona jest w granicach zespołu przyrodniczo-krajobrazowego „Suchogórski Labirynt Skalny”, ustanowionego uchwałą nr XXVIII/385/08 Rady Miejskiej w Bytom</w:t>
      </w:r>
      <w:r>
        <w:rPr>
          <w:rFonts w:eastAsia="Times New Roman" w:cs="Times New Roman"/>
          <w:szCs w:val="20"/>
        </w:rPr>
        <w:t>iu z dnia 27 maja 2008 r., zmienioną uchwałą nr XLIX/650/21 Rady Miejskiej w Bytomiu z dnia 27 września 2021 r., dla którego obowiązują działania ochronne zawarte w treści ww. uchwał.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</w:t>
      </w:r>
      <w:r>
        <w:rPr>
          <w:rFonts w:eastAsia="Times New Roman" w:cs="Times New Roman"/>
          <w:szCs w:val="20"/>
        </w:rPr>
        <w:t>legających ochronie, w związku z czym nie jest wymagane ustalenie zasad ich ochrony.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 oraz obiekty małej architektury o war</w:t>
      </w:r>
      <w:r>
        <w:rPr>
          <w:rFonts w:eastAsia="Times New Roman" w:cs="Times New Roman"/>
          <w:szCs w:val="20"/>
        </w:rPr>
        <w:t>tościach kulturowych ujęte w gminnej ewidencji zabytków, dla których w celu ich ochrony określono nakazy, zakazy i dopuszczenia.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czym plan nie ustala wymogów ich ochro</w:t>
      </w:r>
      <w:r>
        <w:rPr>
          <w:rFonts w:eastAsia="Times New Roman" w:cs="Times New Roman"/>
          <w:szCs w:val="20"/>
        </w:rPr>
        <w:t>ny.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potrzebami (Dz. U. z 2022 r. poz. 2240)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Ustalenia projektu planu miejscowego nie mają negatywnego wpływu na zdrowie oraz bezpieczeństwo ludzi i mienia, a także potrzeby osób ze szczególnymi potrzebami. Zapisy mające na celu ochronę zdrowia oraz bezpieczeństwa ludzi i mienia zawarto m. in. w ust</w:t>
      </w:r>
      <w:r>
        <w:rPr>
          <w:rFonts w:eastAsia="Times New Roman" w:cs="Times New Roman"/>
          <w:szCs w:val="20"/>
        </w:rPr>
        <w:t>aleniach dotyczących ochrony akustycznej, ochrony przed promieniowaniem elektromagnetycznym, ochrony powietrza, ochrony powierzchni ziemi oraz postępowania z odpadami. Projekt planu określa również liczbę miejsc do parkowania dla pojazdów zaopatrzonych w k</w:t>
      </w:r>
      <w:r>
        <w:rPr>
          <w:rFonts w:eastAsia="Times New Roman" w:cs="Times New Roman"/>
          <w:szCs w:val="20"/>
        </w:rPr>
        <w:t>artę parkingową.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</w:t>
      </w:r>
      <w:r>
        <w:rPr>
          <w:rFonts w:eastAsia="Times New Roman" w:cs="Times New Roman"/>
          <w:szCs w:val="20"/>
        </w:rPr>
        <w:t>runków zagospodarowania przestrzennego Gminy Bytom”, uwzględnia walory ekonomiczne przestrzeni. W projekcie planu dla wszystkich terenów określono stawkę procentową służącą naliczaniu opłaty z tytułu wzrostu wartości nieruchomości w wysokości 30%.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</w:t>
      </w:r>
      <w:r>
        <w:rPr>
          <w:rFonts w:eastAsia="Times New Roman" w:cs="Times New Roman"/>
          <w:szCs w:val="20"/>
        </w:rPr>
        <w:t xml:space="preserve"> własności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publicznych do odpowiednich para</w:t>
      </w:r>
      <w:r>
        <w:rPr>
          <w:rFonts w:eastAsia="Times New Roman" w:cs="Times New Roman"/>
          <w:szCs w:val="20"/>
        </w:rPr>
        <w:t>metrów, może zajść konieczność pozyskania części nieruchomości niebędących własnością Gminy Bytom.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Obszar planu położony jest poza obszarem ograniczonego użytkowania wyznaczonym dla obiektów wojskowych i nie </w:t>
      </w:r>
      <w:r>
        <w:rPr>
          <w:rFonts w:eastAsia="Times New Roman" w:cs="Times New Roman"/>
          <w:szCs w:val="20"/>
        </w:rPr>
        <w:t>jest terenem zamkniętym.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Równocześnie, obszar planu znajduje się w granicach strefy ochronnej terenu zamkniętego resortu obrony narodowej – ustalonej na podstawie protokołu prac Komisji, zatwierdzonego przez Szefa Inspektoratu Wsparcia Sił Zbrojnych w dniu</w:t>
      </w:r>
      <w:r>
        <w:rPr>
          <w:rFonts w:eastAsia="Times New Roman" w:cs="Times New Roman"/>
          <w:szCs w:val="20"/>
        </w:rPr>
        <w:t xml:space="preserve"> 17 kwietnia 2020 r. terenu zamkniętego resortu obrony narodowej wyszczególnionego pod poz. nr 648 w załączniku do decyzji nr 91/MON Ministra Obrony Narodowej z dnia 26 lipca 2024 r. w sprawie ustalenia terenów zamkniętych w resorcie obrony narodowej (Dz. </w:t>
      </w:r>
      <w:r>
        <w:rPr>
          <w:rFonts w:eastAsia="Times New Roman" w:cs="Times New Roman"/>
          <w:szCs w:val="20"/>
        </w:rPr>
        <w:t>Urz. Ministra Obrony Narodowej z 2024 r. poz. 115 i 230 oraz z 2025 r. poz. 54, 139 i 226) – Strefa II ograniczonego budownictwa wysokościowego.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 toku procedury planistycznej stosowne organy wojskowe, ochrony granic i bezpieczeństwa państwa zostały </w:t>
      </w:r>
      <w:r>
        <w:rPr>
          <w:rFonts w:eastAsia="Times New Roman" w:cs="Times New Roman"/>
          <w:szCs w:val="20"/>
        </w:rPr>
        <w:t>zawiadomione o przystąpieniu do sporządzenia przedmiotowego planu.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 in. poprzez realizację inwestycji celu publicznego, takich jak</w:t>
      </w:r>
      <w:r>
        <w:rPr>
          <w:rFonts w:eastAsia="Times New Roman" w:cs="Times New Roman"/>
          <w:szCs w:val="20"/>
        </w:rPr>
        <w:t xml:space="preserve"> budowa nowych dróg oraz niezbędnej infrastruktury technicznej.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 xml:space="preserve">Projekt planu miejscowego zawiera ustalenia dotyczące zasad modernizacji, rozbudowy i budowy </w:t>
      </w:r>
      <w:r>
        <w:rPr>
          <w:rFonts w:eastAsia="Times New Roman" w:cs="Times New Roman"/>
          <w:szCs w:val="20"/>
        </w:rPr>
        <w:t>systemów infrastruktury technicznej.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</w:t>
      </w:r>
      <w:r>
        <w:rPr>
          <w:rFonts w:eastAsia="Times New Roman" w:cs="Times New Roman"/>
          <w:szCs w:val="20"/>
        </w:rPr>
        <w:t>em zagospodarowania przestrzennego, w tym przy użyciu środków komunikacji elektronicznej, zostało zrealizowane poprzez: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zamieszczenie ogłoszeń w prasie, na stronie internetowej miasta oraz w Biuletynie Informacji Publicznej i obwieszczenia na tablicy og</w:t>
      </w:r>
      <w:r>
        <w:rPr>
          <w:rFonts w:eastAsia="Times New Roman" w:cs="Times New Roman"/>
          <w:szCs w:val="20"/>
        </w:rPr>
        <w:t>łoszeń Urzędu Miejskiego w Bytomiu o: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przystąpieniu do sporządzenia miejscowego planu zagospodarowania przestrzennego zagospodarowania przestrzennego Gminy Bytom – etap VII – dla terenu położonego w rejonie ulic: Strzelców Bytomskich i Księdza Prymasa S</w:t>
      </w:r>
      <w:r>
        <w:rPr>
          <w:rFonts w:eastAsia="Times New Roman" w:cs="Times New Roman"/>
          <w:szCs w:val="20"/>
        </w:rPr>
        <w:t>tefana Wyszyńskiego, możliwości składania wniosków i uwag oraz możliwości zapoznania się z dokumentacją sprawy,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 wyłożeniu do publicznego wglądu projektu miejscowego planu zagospodarowania przestrzennego zagospodarowania przestrzennego Gminy Bytom – etap</w:t>
      </w:r>
      <w:r>
        <w:rPr>
          <w:rFonts w:eastAsia="Times New Roman" w:cs="Times New Roman"/>
          <w:szCs w:val="20"/>
        </w:rPr>
        <w:t xml:space="preserve"> VII – dla terenu położonego w rejonie ulic: Strzelców Bytomskich i Księdza Prymasa Stefana Wyszyńskiego wraz z prognozą oddziaływania na środowisko, możliwości składania wniosków i uwag, możliwości zapoznania się z niezbędną dokumentacją sprawy oraz o udo</w:t>
      </w:r>
      <w:r>
        <w:rPr>
          <w:rFonts w:eastAsia="Times New Roman" w:cs="Times New Roman"/>
          <w:szCs w:val="20"/>
        </w:rPr>
        <w:t>stępnieniu projektu planu do wglądu w formie elektronicznej;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przeprowadzenie w dniach od 6 maja 2026 r. do 3 czerwca 2026 r. wyłożenia do publicznego wglądu projektu miejscowego planu zagospodarowania przestrzennego zagospodarowania przestrzennego Gminy</w:t>
      </w:r>
      <w:r>
        <w:rPr>
          <w:rFonts w:eastAsia="Times New Roman" w:cs="Times New Roman"/>
          <w:szCs w:val="20"/>
        </w:rPr>
        <w:t xml:space="preserve"> Bytom – etap VII – dla terenu położonego w rejonie ulic: Strzelców Bytomskich i Księdza Prymasa Stefana Wyszyńskiego wraz z prognozą oddziaływania na środowisko i zorganizowanie w dniu 25 maja 2026 r. dyskusji publicznej nad przyjętymi w projekcie planu r</w:t>
      </w:r>
      <w:r>
        <w:rPr>
          <w:rFonts w:eastAsia="Times New Roman" w:cs="Times New Roman"/>
          <w:szCs w:val="20"/>
        </w:rPr>
        <w:t>ozwiązaniami;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umożliwienie składania uwag do projektu miejscowego planu zagospodarowania przestrzennego zagospodarowania przestrzennego Gminy Bytom – etap VII – dla terenu położonego w rejonie ulic: Strzelców Bytomskich i Księdza Prymasa Stefana Wyszyńs</w:t>
      </w:r>
      <w:r>
        <w:rPr>
          <w:rFonts w:eastAsia="Times New Roman" w:cs="Times New Roman"/>
          <w:szCs w:val="20"/>
        </w:rPr>
        <w:t>kiego w terminie od 3 czerwca 2026 r. do 17 czerwca 2026 r.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</w:t>
      </w:r>
      <w:r>
        <w:rPr>
          <w:rFonts w:eastAsia="Times New Roman" w:cs="Times New Roman"/>
          <w:szCs w:val="20"/>
        </w:rPr>
        <w:t>kreślonych w art. 17 ustawy z dnia 27 marca 2003 r. o planowaniu i zagospodarowaniu przestrzennym, jak również na podstawie art. 21, art. 39 i art. 54 ustawy z dnia 3 października 2008 r. o udostępnieniu informacji o środowisku i jego ochronie, udziale spo</w:t>
      </w:r>
      <w:r>
        <w:rPr>
          <w:rFonts w:eastAsia="Times New Roman" w:cs="Times New Roman"/>
          <w:szCs w:val="20"/>
        </w:rPr>
        <w:t>łeczeństwa w ochronie środowiska oraz o ocenach oddziaływania na środowisko.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 xml:space="preserve">Projekt planu miejscowego zawiera ustalenia dotyczące zasad zaopatrzenia w wodę, które </w:t>
      </w:r>
      <w:r>
        <w:rPr>
          <w:rFonts w:eastAsia="Times New Roman" w:cs="Times New Roman"/>
          <w:szCs w:val="20"/>
        </w:rPr>
        <w:t>w rezultacie przełożą się na zapewnienie odpowiedniej ilości i jakości wody w odniesieniu do planowanego zagospodarowania terenów.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</w:t>
      </w:r>
      <w:r>
        <w:rPr>
          <w:rFonts w:eastAsia="Times New Roman" w:cs="Times New Roman"/>
          <w:szCs w:val="20"/>
        </w:rPr>
        <w:t>ania z terenu, między interesem publicznym a interesami prywatnymi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</w:t>
      </w:r>
      <w:r>
        <w:rPr>
          <w:rFonts w:eastAsia="Times New Roman" w:cs="Times New Roman"/>
          <w:szCs w:val="20"/>
        </w:rPr>
        <w:t>ię do zgłoszonych wniosków i uwag.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przestrzennego, efektywnego gospodarowania przestrzenią oraz walorów ekonomicznych przestrzeni w przypadku sytuowania nowej zabudowy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Umożliwiając sytuowanie nowej zabudowy uwzględniono </w:t>
      </w:r>
      <w:r>
        <w:rPr>
          <w:rFonts w:eastAsia="Times New Roman" w:cs="Times New Roman"/>
          <w:szCs w:val="20"/>
        </w:rPr>
        <w:t>wymagania ładu przestrzennego, efektywne gospodarowanie przestrzenią oraz walory ekonomiczne przestrzeni, w szczególności: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system komunikacyjny z uwzględnieniem możliwości jego ewen</w:t>
      </w:r>
      <w:r>
        <w:rPr>
          <w:rFonts w:eastAsia="Times New Roman" w:cs="Times New Roman"/>
          <w:szCs w:val="20"/>
        </w:rPr>
        <w:t>tualnej przebudowy oraz rozbudowy o projektowane drogi, umożliwiające obsługę komunikacyjną terenów;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</w:t>
      </w:r>
      <w:r>
        <w:rPr>
          <w:rFonts w:eastAsia="Times New Roman" w:cs="Times New Roman"/>
          <w:szCs w:val="20"/>
        </w:rPr>
        <w:t>ządzenia sportowo-rekreacyjne, dojazdy, ciągi piesze, ciągi pieszo-jezdne, ścieżki rowerowe, zieleń urządzona, zieleń izolacyjna, obiekty małej architektury oraz elementy wyposażenia miejskiego.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planu, zgodnie z kierunkami określony</w:t>
      </w:r>
      <w:r>
        <w:rPr>
          <w:rFonts w:eastAsia="Times New Roman" w:cs="Times New Roman"/>
          <w:szCs w:val="20"/>
        </w:rPr>
        <w:t>mi w „Studium uwarunkowań i kierunków zagospodarowania przestrzennego Gminy Bytom”, nowa zabudowa przyczyni się do bardziej efektywnego wykorzystania terenów.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 ust. 1 ustawy o planowaniu i zagospodaro</w:t>
      </w:r>
      <w:r>
        <w:rPr>
          <w:rFonts w:eastAsia="Times New Roman" w:cs="Times New Roman"/>
          <w:szCs w:val="20"/>
        </w:rPr>
        <w:t>waniu przestrzennym wraz z datą uchwały rady gminy, o której mowa w art. 32 ust. 2 ww. ustawy oraz sposób uwzględnienia uniwersalnego projektowania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opracowanej „Analizy zmian w zagospodarowaniu</w:t>
      </w:r>
      <w:r>
        <w:rPr>
          <w:rFonts w:eastAsia="Times New Roman" w:cs="Times New Roman"/>
          <w:szCs w:val="20"/>
        </w:rPr>
        <w:t xml:space="preserve"> przestrzennym Gminy Bytom w latach 2018-2023”, przyjętej uchwałą nr XCI/1142/24 Rady Miejskiej w Bytomiu z dnia 15 marca 2024 r. W ww. analizie wskazano bowiem zarówno na potrzebę sporządzenia miejscowych planów zagospodarowania przestrzennego dla terenów</w:t>
      </w:r>
      <w:r>
        <w:rPr>
          <w:rFonts w:eastAsia="Times New Roman" w:cs="Times New Roman"/>
          <w:szCs w:val="20"/>
        </w:rPr>
        <w:t xml:space="preserve"> nieobjętych planami miejscowymi jak i na zasadność kontynuacji prac nad aktualizacją obowiązujących miejscowych planów zagospodarowania przestrzennego, z uwzględnieniem zachodzących zmian w zagospodarowaniu przestrzennym oraz aktualnych wymogów prawnych, </w:t>
      </w:r>
      <w:r>
        <w:rPr>
          <w:rFonts w:eastAsia="Times New Roman" w:cs="Times New Roman"/>
          <w:szCs w:val="20"/>
        </w:rPr>
        <w:t>a także obecnych potrzeb rozwoju przestrzennego miasta. Projekt planu uwzględnia także uniwersalne projektowanie, w tym m. in. określenie liczby miejsc do parkowania dla pojazdów zaopatrzonych w kartę parkingową.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</w:t>
      </w:r>
      <w:r>
        <w:rPr>
          <w:rFonts w:eastAsia="Times New Roman" w:cs="Times New Roman"/>
          <w:szCs w:val="20"/>
        </w:rPr>
        <w:t>et gminy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W wyniku sporządzenia prognozy skutków finansowych uchwalenia przedmiotowego miejscowego planu zagospodarowania przestrzennego stwierdzono, że: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wskaźnik ekonomiczny inwestycji, jaką jest uchwalenie miejscowego planu zagospodarowania przestrzenn</w:t>
      </w:r>
      <w:r>
        <w:rPr>
          <w:rFonts w:eastAsia="Times New Roman" w:cs="Times New Roman"/>
          <w:szCs w:val="20"/>
        </w:rPr>
        <w:t>ego zagospodarowania przestrzennego Gminy Bytom – etap VII – dla terenu położonego w rejonie ulic: Strzelców Bytomskich i Księdza Prymasa Stefana Wyszyńskiego, jest ujemny, co wynika z przewyższających dochód wydatków, jakie są po stronie Gminy Bytom w myś</w:t>
      </w:r>
      <w:r>
        <w:rPr>
          <w:rFonts w:eastAsia="Times New Roman" w:cs="Times New Roman"/>
          <w:szCs w:val="20"/>
        </w:rPr>
        <w:t>l projektu planu oraz założeń przyjętych w prognozie;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2) głównym kosztem jest realizacja zadań własnych Gminy, do których należy m. in. budowa infrastruktury technicznej oraz dróg publicznych. W związku z możliwością pozyskania środków zewnętrznych na </w:t>
      </w:r>
      <w:r>
        <w:rPr>
          <w:rFonts w:eastAsia="Times New Roman" w:cs="Times New Roman"/>
          <w:szCs w:val="20"/>
        </w:rPr>
        <w:t>budowę dróg i sieci uzbrojenia terenów, wskaźnik ekonomiczny inwestycji może ulec poprawie;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ze względu na aktualną strukturę własności, grunty stanowiące własność lub użytkowanie wieczyste Gminy Bytom mogą przynieść jej dochód z tytułu ich sprzedaży ora</w:t>
      </w:r>
      <w:r>
        <w:rPr>
          <w:rFonts w:eastAsia="Times New Roman" w:cs="Times New Roman"/>
          <w:szCs w:val="20"/>
        </w:rPr>
        <w:t>z z tytułu podatków od nieruchomości, które przyszły nabywca będzie opłacać;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obszar położony w granicach przedmiotowego projektu planu posiada spory potencjał z uwagi na: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tereny wolne od zabudowy, które mogą zostać zabudowane zgodnie z przeznaczeniem</w:t>
      </w:r>
      <w:r>
        <w:rPr>
          <w:rFonts w:eastAsia="Times New Roman" w:cs="Times New Roman"/>
          <w:szCs w:val="20"/>
        </w:rPr>
        <w:t xml:space="preserve"> wskazanym w projekcie planu,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 lokalizację w sąsiedztwie terenów zieleni i terenów lasów,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c) dobre skomunikowanie z sąsiadującymi miastami: Radzionkowem i Tarnowskimi Górami;</w:t>
      </w:r>
    </w:p>
    <w:p w:rsidR="006541B1" w:rsidRDefault="00D01F0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z uwagi na fakt, iż nie ma możliwości dokładnego określenia powierzchni użyt</w:t>
      </w:r>
      <w:r>
        <w:rPr>
          <w:rFonts w:eastAsia="Times New Roman" w:cs="Times New Roman"/>
          <w:szCs w:val="20"/>
        </w:rPr>
        <w:t xml:space="preserve">kowych budynków, które mogą zostać wybudowane na gruntach inwestycyjnych, w prognozie skutków finansowych uchwalenia planu nie uwzględniono wpływów z tytułu podatków od nieruchomości za budynki i budowle. Niemniej jednak, możliwość uzyskania w przyszłości </w:t>
      </w:r>
      <w:r>
        <w:rPr>
          <w:rFonts w:eastAsia="Times New Roman" w:cs="Times New Roman"/>
          <w:szCs w:val="20"/>
        </w:rPr>
        <w:t>podatku od nieruchomości wpłynie korzystnie na wynik finansowy przedmiotowego planu miejscowego.</w:t>
      </w:r>
    </w:p>
    <w:sectPr w:rsidR="006541B1" w:rsidSect="006541B1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1B1" w:rsidRDefault="006541B1" w:rsidP="006541B1">
      <w:r>
        <w:separator/>
      </w:r>
    </w:p>
  </w:endnote>
  <w:endnote w:type="continuationSeparator" w:id="0">
    <w:p w:rsidR="006541B1" w:rsidRDefault="006541B1" w:rsidP="00654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41B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rPr>
              <w:sz w:val="18"/>
            </w:rPr>
          </w:pPr>
          <w:r>
            <w:rPr>
              <w:sz w:val="18"/>
            </w:rPr>
            <w:t>Id: F1BA63EB-E52B-4B94-A591-709A28C37</w:t>
          </w:r>
          <w:r>
            <w:rPr>
              <w:sz w:val="18"/>
            </w:rPr>
            <w:t>A7B.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41B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541B1">
            <w:rPr>
              <w:sz w:val="18"/>
            </w:rPr>
            <w:fldChar w:fldCharType="end"/>
          </w:r>
        </w:p>
      </w:tc>
    </w:tr>
  </w:tbl>
  <w:p w:rsidR="006541B1" w:rsidRDefault="006541B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41B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rPr>
              <w:sz w:val="18"/>
            </w:rPr>
          </w:pPr>
          <w:r>
            <w:rPr>
              <w:sz w:val="18"/>
            </w:rPr>
            <w:t>Id: F1BA63EB-E52B-4B94-A591-709A28C37A7B.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41B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33</w:t>
          </w:r>
          <w:r w:rsidR="006541B1">
            <w:rPr>
              <w:sz w:val="18"/>
            </w:rPr>
            <w:fldChar w:fldCharType="end"/>
          </w:r>
        </w:p>
      </w:tc>
    </w:tr>
  </w:tbl>
  <w:p w:rsidR="006541B1" w:rsidRDefault="006541B1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41B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rPr>
              <w:sz w:val="18"/>
            </w:rPr>
          </w:pPr>
          <w:r>
            <w:rPr>
              <w:sz w:val="18"/>
            </w:rPr>
            <w:t>Id: F1BA63EB-E52B</w:t>
          </w:r>
          <w:r>
            <w:rPr>
              <w:sz w:val="18"/>
            </w:rPr>
            <w:t>-4B94-A591-709A28C37A7B.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41B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35</w:t>
          </w:r>
          <w:r w:rsidR="006541B1">
            <w:rPr>
              <w:sz w:val="18"/>
            </w:rPr>
            <w:fldChar w:fldCharType="end"/>
          </w:r>
        </w:p>
      </w:tc>
    </w:tr>
  </w:tbl>
  <w:p w:rsidR="006541B1" w:rsidRDefault="006541B1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41B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rPr>
              <w:sz w:val="18"/>
            </w:rPr>
          </w:pPr>
          <w:r>
            <w:rPr>
              <w:sz w:val="18"/>
            </w:rPr>
            <w:t>Id: F1BA63EB-E52B-4B94-A591-709A28C37A7B.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41B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36</w:t>
          </w:r>
          <w:r w:rsidR="006541B1">
            <w:rPr>
              <w:sz w:val="18"/>
            </w:rPr>
            <w:fldChar w:fldCharType="end"/>
          </w:r>
        </w:p>
      </w:tc>
    </w:tr>
  </w:tbl>
  <w:p w:rsidR="006541B1" w:rsidRDefault="006541B1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41B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rPr>
              <w:sz w:val="18"/>
            </w:rPr>
          </w:pPr>
          <w:r>
            <w:rPr>
              <w:sz w:val="18"/>
            </w:rPr>
            <w:t>Id: F1BA63EB-E52B-4B94-A591-709A28C37A7B.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41B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37</w:t>
          </w:r>
          <w:r w:rsidR="006541B1">
            <w:rPr>
              <w:sz w:val="18"/>
            </w:rPr>
            <w:fldChar w:fldCharType="end"/>
          </w:r>
        </w:p>
      </w:tc>
    </w:tr>
  </w:tbl>
  <w:p w:rsidR="006541B1" w:rsidRDefault="006541B1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41B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rPr>
              <w:sz w:val="18"/>
            </w:rPr>
          </w:pPr>
          <w:r>
            <w:rPr>
              <w:sz w:val="18"/>
            </w:rPr>
            <w:t>Id: F1BA63EB-E52B-4B94-A591-709A28C37A7B.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541B1" w:rsidRDefault="00D01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41B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43</w:t>
          </w:r>
          <w:r w:rsidR="006541B1">
            <w:rPr>
              <w:sz w:val="18"/>
            </w:rPr>
            <w:fldChar w:fldCharType="end"/>
          </w:r>
        </w:p>
      </w:tc>
    </w:tr>
  </w:tbl>
  <w:p w:rsidR="006541B1" w:rsidRDefault="006541B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1B1" w:rsidRDefault="006541B1" w:rsidP="006541B1">
      <w:r>
        <w:separator/>
      </w:r>
    </w:p>
  </w:footnote>
  <w:footnote w:type="continuationSeparator" w:id="0">
    <w:p w:rsidR="006541B1" w:rsidRDefault="006541B1" w:rsidP="006541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541B1"/>
    <w:rsid w:val="00A77B3E"/>
    <w:rsid w:val="00CA2A55"/>
    <w:rsid w:val="00D01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41B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asteuer\Downloads\Zalacznik4.g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11858</Words>
  <Characters>74742</Characters>
  <Application>Microsoft Office Word</Application>
  <DocSecurity>0</DocSecurity>
  <Lines>622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86428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Gminy Bytom – etap VII – dla terenu położonego w^rejonie ulic: Strzelców Bytomskich i^Księdza Prymasa Stefana Wyszyńskiego</dc:subject>
  <dc:creator>jmach</dc:creator>
  <cp:lastModifiedBy>asteuer</cp:lastModifiedBy>
  <cp:revision>2</cp:revision>
  <dcterms:created xsi:type="dcterms:W3CDTF">2026-06-11T08:53:00Z</dcterms:created>
  <dcterms:modified xsi:type="dcterms:W3CDTF">2026-06-11T08:53:00Z</dcterms:modified>
  <cp:category>Akt prawny</cp:category>
</cp:coreProperties>
</file>