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85C1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285C11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285C11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Gminy Bytom – etap VI – dla terenu położonego przy ul. Tadeusza Boya-Żeleńskiego</w:t>
      </w:r>
    </w:p>
    <w:p w:rsidR="00A77B3E" w:rsidRDefault="00285C11">
      <w:pPr>
        <w:keepLines/>
        <w:spacing w:before="120" w:after="120" w:line="276" w:lineRule="auto"/>
        <w:ind w:firstLine="227"/>
      </w:pPr>
      <w:r>
        <w:t xml:space="preserve">Na </w:t>
      </w:r>
      <w:r>
        <w:t xml:space="preserve">podstawie art. 18 ust. 2 pkt 5, art. 40 ust. 1 i art. 41 ust. 1 ustawy z dnia 8 marca 1990 r. o samorządzie gminnym (Dz. U. z 2026 r. poz. 662) oraz art. 3 ust. 1, art. 20 ust. 1 ustawy z dnia 27 marca 2003 r. o planowaniu i zagospodarowaniu przestrzennym </w:t>
      </w:r>
      <w:r>
        <w:t>(Dz. U. z 2026 r. poz. 538), w związku z art. 67 ust. 3 ustawy z dnia 7 lipca 2023 r. o zmianie ustawy o planowaniu i zagospodarowaniu przestrzennym oraz niektórych innych ustaw (Dz. U. z 2023 r. poz. 1688, z późn. zm.) oraz w związku z uchwałą nr LXXII/91</w:t>
      </w:r>
      <w:r>
        <w:t>5/22 Rady Miejskiej w Bytomiu z dnia 19 grudnia 2022 r. w sprawie przystąpienia do sporządzenia miejscowego planu zagospodarowania przestrzennego Gminy Bytom stwierdza się, że miejscowy plan zagospodarowania przestrzennego Gminy Bytom – etap VI – dla teren</w:t>
      </w:r>
      <w:r>
        <w:t>u położonego przy ul. Tadeusza Boya-Żeleńskiego nie narusza ustaleń „Studium uwarunkowań i kierunków zagospodarowania przestrzennego Gminy Bytom” przyjętego uchwałą nr XVI/204/11 Rady Miejskiej w Bytomiu z dnia 24 sierpnia 2011 r., z późn. zm. i uchwala si</w:t>
      </w:r>
      <w:r>
        <w:t>ę, co następuje:</w:t>
      </w:r>
    </w:p>
    <w:p w:rsidR="00A77B3E" w:rsidRDefault="00285C11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285C1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VI – dla terenu położonego przy ul. Tadeusza Boya-Żeleńskiego, zwany dalej „planem”, składają się ustalenia zawarte w treści niniejszej u</w:t>
      </w:r>
      <w:r>
        <w:t>chwały wraz z następującymi załącznikami:</w:t>
      </w:r>
    </w:p>
    <w:p w:rsidR="00A77B3E" w:rsidRDefault="00285C11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 kopii mapy zasadniczej w skali 1:1000;</w:t>
      </w:r>
    </w:p>
    <w:p w:rsidR="00A77B3E" w:rsidRDefault="00285C11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</w:t>
      </w:r>
      <w:r>
        <w:t>projektu planu;</w:t>
      </w:r>
    </w:p>
    <w:p w:rsidR="00A77B3E" w:rsidRDefault="00285C11">
      <w:pPr>
        <w:spacing w:before="120" w:after="120" w:line="276" w:lineRule="auto"/>
        <w:ind w:left="340" w:hanging="227"/>
      </w:pPr>
      <w:r>
        <w:t>3) </w:t>
      </w:r>
      <w:r>
        <w:t>załącznik nr 3 – rozstrzygnięcie o sposobie realizacji, zapisanych w planie, inwestycji z zakresu infrastruktury technicznej, które należą do zadań własnych gminy oraz zasadach ich finansowania, zgodnie z przepisami o finansach publiczny</w:t>
      </w:r>
      <w:r>
        <w:t>ch;</w:t>
      </w:r>
    </w:p>
    <w:p w:rsidR="00A77B3E" w:rsidRDefault="00285C11">
      <w:pPr>
        <w:spacing w:before="120" w:after="120" w:line="276" w:lineRule="auto"/>
        <w:ind w:left="340" w:hanging="227"/>
      </w:pPr>
      <w:r>
        <w:t>4) </w:t>
      </w:r>
      <w:r>
        <w:t>załącznik nr 4 – dane przestrzenne dla planu.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Rozdział 2 – </w:t>
      </w:r>
      <w:r>
        <w:rPr>
          <w:color w:val="000000"/>
          <w:u w:color="000000"/>
        </w:rPr>
        <w:t>Zasady ochrony i kształtowania ładu przestrzennego;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kształtowania krajobrazu;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Rozdział 5 – Zasady ochrony dziedzictwa kulturowego i zabytków, w tym krajobrazów kult</w:t>
      </w:r>
      <w:r>
        <w:rPr>
          <w:color w:val="000000"/>
          <w:u w:color="000000"/>
        </w:rPr>
        <w:t>urowych oraz dóbr kultury współczesnej;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Rozdział 7 – Granice i sposoby zagospodarowania terenów lub obiektów podlegających ochronie, na podstawie odrębnych przepisów, </w:t>
      </w:r>
      <w:r>
        <w:rPr>
          <w:color w:val="000000"/>
          <w:u w:color="000000"/>
        </w:rPr>
        <w:t>terenów górniczych, a także obszarów szczególnego zagrożenia powodzią, obszarów osuwania się mas ziemnych, krajobrazów priorytetowych określonych w audycie krajobrazowym oraz w planach zagospodarowania przestrzennego województwa;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Rozdział 8 – </w:t>
      </w:r>
      <w:r>
        <w:rPr>
          <w:color w:val="000000"/>
          <w:u w:color="000000"/>
        </w:rPr>
        <w:t>Szczegółowe zasady i warunki scalania i podziału nieruchomości objętych planem miejscowym, w tym parametry działek uzyskiwanych w wyniku scalania i podziału nieruchomości;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Rozdział 9 – Szczególne warunki zagospodarowania terenów oraz ograniczenia w ich </w:t>
      </w:r>
      <w:r>
        <w:rPr>
          <w:color w:val="000000"/>
          <w:u w:color="000000"/>
        </w:rPr>
        <w:t>użytkowaniu, w tym zakaz zabudowy;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Zasady modernizacji, rozbudowy i budowy systemów komunikacji i infrastruktury technicznej;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Sposób i termin tymczasowego zagospodarowania, urządzania i użytkowania terenów;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Rozdział </w:t>
      </w:r>
      <w:r>
        <w:rPr>
          <w:color w:val="000000"/>
          <w:u w:color="000000"/>
        </w:rPr>
        <w:t>12 – Stawki procentowe, na podstawie których ustala się opłatę, o której mowa w art. 36 ust. 4 ustawy o planowaniu i zagospodarowaniu przestrzennym;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Ustalenia szczegółowe dla terenów o różnym przeznaczeniu lub różnych zasadach zagospodaro</w:t>
      </w:r>
      <w:r>
        <w:rPr>
          <w:color w:val="000000"/>
          <w:u w:color="000000"/>
        </w:rPr>
        <w:t>wania;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Rozdział 14 – Przepisy końcowe.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miejscowym planem zagospodarowania przestrzennego;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linie rozgraniczające tereny o różnym przeznaczeniu </w:t>
      </w:r>
      <w:r>
        <w:rPr>
          <w:color w:val="000000"/>
          <w:u w:color="000000"/>
        </w:rPr>
        <w:t>lub różnych zasadach zagospodarowania;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 cyfrowo-literowy określający przeznaczenie terenu wyznaczonego liniami rozgraniczającymi: MNW – teren zabudowy mieszkaniowej jednorodzinnej wolnostojącej;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Rysunek planu</w:t>
      </w:r>
      <w:r>
        <w:rPr>
          <w:color w:val="000000"/>
          <w:u w:color="000000"/>
        </w:rPr>
        <w:t xml:space="preserve"> zawiera następujące oznaczenia lub informacje wynikające z przepisów odrębnych: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Głównego Zbiornika Wód Podziemnych GZWP nr 330 – Zbiornik Gliwice;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obszar ochronny Głównego Zbiornika Wód Podziemnych GZWP nr 330 – Zbiornik Gliwice;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granica </w:t>
      </w:r>
      <w:r>
        <w:rPr>
          <w:color w:val="000000"/>
          <w:u w:color="000000"/>
        </w:rPr>
        <w:t>Głównego Zbiornika Wód Podziemnych GZWP nr 329 – Zbiornik Bytom;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strefa w odległości 500,0 m od granicy istniejącego cmentarza;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cały obszar objęty planem położony jest w granicy Specjalnego Obszaru Ochrony Siedlisk Natura 2000 Podziemia Tarnogórsko-B</w:t>
      </w:r>
      <w:r>
        <w:rPr>
          <w:color w:val="000000"/>
          <w:u w:color="000000"/>
        </w:rPr>
        <w:t>ytomskie.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granice i numery działek ewidencyjnych;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zlikwidowane szyby i szybiki porudne;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orientacyjny zasięg zakończonej płytkiej </w:t>
      </w:r>
      <w:r>
        <w:rPr>
          <w:color w:val="000000"/>
          <w:u w:color="000000"/>
        </w:rPr>
        <w:t>eksploatacji rudnej.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dachu płaskim – należy przez to rozumieć dach o kącie nachylenia połaci dachowych w stosunku do płaszczyzny poziomej nie większym niż 12°;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działce budowlanej </w:t>
      </w:r>
      <w:r>
        <w:rPr>
          <w:color w:val="000000"/>
          <w:u w:color="000000"/>
        </w:rPr>
        <w:t>– należy przez to rozumieć działkę, o której mowa w ustawie z dnia 27 marca 2003 r. o planowaniu i zagospodarowaniu przestrzennym;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elementach wyposażenia miejskiego – należy przez to rozumieć elementy zagospodarowania takie jak: siedziska, ławki, zegary</w:t>
      </w:r>
      <w:r>
        <w:rPr>
          <w:color w:val="000000"/>
          <w:u w:color="000000"/>
        </w:rPr>
        <w:t xml:space="preserve"> uliczne, latarnie, lampy oświetleniowe, stojaki rowerowe, pergole, barierki uliczne, słupki i ograniczniki parkowania na chodnikach, donice, słupy informacyjno-ogłoszeniowe wykorzystywane przez władze miasta do promocji miasta i informowania mieszkańców o</w:t>
      </w:r>
      <w:r>
        <w:rPr>
          <w:color w:val="000000"/>
          <w:u w:color="000000"/>
        </w:rPr>
        <w:t> ważnych dla miasta wydarzeniach oraz elementy Systemu Identyfikacji Miejskiej;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istniejącej zabudowie – należy przez to rozumieć zabudowę wzniesioną przed dniem wejścia w życie planu lub taką, dla której do dnia wejścia w życie planu została wydana </w:t>
      </w:r>
      <w:r>
        <w:rPr>
          <w:color w:val="000000"/>
          <w:u w:color="000000"/>
        </w:rPr>
        <w:t>prawomocna decyzja o pozwoleniu na budowę;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nieprzekraczalnej linii zabudowy – należy przez to rozumieć wyznaczoną na rysunku planu linię ograniczającą część terenu, w obrębie którego możliwe jest wznoszenie nadziemnych części budynków, przy czym dopuszc</w:t>
      </w:r>
      <w:r>
        <w:rPr>
          <w:color w:val="000000"/>
          <w:u w:color="000000"/>
        </w:rPr>
        <w:t>zalne jest wysunięcie poza wyznaczoną linię zabudowy, na odległość nie większą niż 1,3 m, elementów nadwieszeń takich jak: nieobudowane balkony, daszki nad wejściami do budynków, gzymsy, wykusze i inne elementy wystroju architektonicznego elewacji, a także</w:t>
      </w:r>
      <w:r>
        <w:rPr>
          <w:color w:val="000000"/>
          <w:u w:color="000000"/>
        </w:rPr>
        <w:t>, jeśli ustalenia planu nie stanowią inaczej, elementy wejść do budynku oraz grubości docieplenia w przypadku istniejącego budynku; nieprzekraczalna linia zabudowy nie dotyczy podziemnych części budynków;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obszarze – należy przez to rozumieć cały obszar </w:t>
      </w:r>
      <w:r>
        <w:rPr>
          <w:color w:val="000000"/>
          <w:u w:color="000000"/>
        </w:rPr>
        <w:t>objęty niniejszym planem;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minimalnym wskaźniku powierzchni biologicznie czynnej – należy przez to rozumieć minimalny udział powierzchni biologicznie czynnej, o którym mowa w art. 2 pkt 29 ustawy </w:t>
      </w:r>
      <w:r>
        <w:rPr>
          <w:color w:val="000000"/>
          <w:u w:color="000000"/>
        </w:rPr>
        <w:t>z dnia 27marca 2003 r. o planowaniu i zagospodarowaniu przestrzennym – chyba, że z ustaleń szczegółowych planu wynika inaczej,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nadziemnej intensywności zabudowy – należy przez to rozumieć nadziemną intensywność zabudowy, o której mowa w art. 2</w:t>
      </w:r>
      <w:r>
        <w:rPr>
          <w:color w:val="000000"/>
          <w:u w:color="000000"/>
        </w:rPr>
        <w:t> pkt 32 ustawy z dnia                    27 marca 2003 r. o planowaniu i zagospodarowaniu przestrzennym,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 xml:space="preserve">wskaźniku powierzchni zabudowy – należy przez to rozumieć udział powierzchni zabudowy, o którym mowa w art. 2 pkt 35 ustawy z dnia 27 marca 2003 r. </w:t>
      </w:r>
      <w:r>
        <w:rPr>
          <w:color w:val="000000"/>
          <w:u w:color="000000"/>
        </w:rPr>
        <w:t>o planowaniu i zagospodarowaniu przestrzennym,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rozumieć wysokość zabudowy, o której mowa w art. 2 pkt 30 ustawy z dnia 27 marca 2003 r. o planowaniu i zagospodarowaniu przestrzennym;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przepisach odrębnych lub przyw</w:t>
      </w:r>
      <w:r>
        <w:rPr>
          <w:color w:val="000000"/>
          <w:u w:color="000000"/>
        </w:rPr>
        <w:t>ołanych w ustaleniach planu ustawach i rozporządzeniach – należy przez to rozumieć odpowiednie, obowiązujące na dzień uchwalenia niniejszego planu, przepisy ustaw wraz z ich aktami wykonawczymi;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Systemie Identyfikacji Miejskiej – należy przez to rozumie</w:t>
      </w:r>
      <w:r>
        <w:rPr>
          <w:color w:val="000000"/>
          <w:u w:color="000000"/>
        </w:rPr>
        <w:t>ć kompleksowo opracowany dla całego miasta lub dzielnicy system jednolitych stylistycznie elementów informacyjnych ułatwiających orientację w przestrzeni miasta, składający się z elementów takich jak: tablice z nazwami ulic i ich nośniki, tablice kierujące</w:t>
      </w:r>
      <w:r>
        <w:rPr>
          <w:color w:val="000000"/>
          <w:u w:color="000000"/>
        </w:rPr>
        <w:t xml:space="preserve"> do istotnych punktów miasta (np. muzea, szpitale itp.), nośniki z planem miasta lub dzielnicy, nośniki informacji o istotnych elementach krajobrazu miejskiego (tj. obiekcie, patronie drogi itp.);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przeznaczeniu – należy przez to rozumieć ustalony plane</w:t>
      </w:r>
      <w:r>
        <w:rPr>
          <w:color w:val="000000"/>
          <w:u w:color="000000"/>
        </w:rPr>
        <w:t>m przeważający sposób zagospodarowania i zabudowy powierzchni działki budowlanej w granicach terenu wyznaczonego liniami rozgraniczającymi;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przeznaczeniu uzupełniającym – należy przez to rozumieć ustalony planem uzupełniający przeznaczenie sposób zagos</w:t>
      </w:r>
      <w:r>
        <w:rPr>
          <w:color w:val="000000"/>
          <w:u w:color="000000"/>
        </w:rPr>
        <w:t>podarowania i zabudowy, którego udział wynosi nie więcej niż 49% powierzchni działki budowlanej w granicach terenu wyznaczonego liniami rozgraniczającymi lub może być określony w ustaleniach szczegółowych;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terenie – należy przez to rozumieć fragment ob</w:t>
      </w:r>
      <w:r>
        <w:rPr>
          <w:color w:val="000000"/>
          <w:u w:color="000000"/>
        </w:rPr>
        <w:t>szaru planu o ustalonym przeznaczeniu i zasadach zagospodarowania, wyznaczony na rysunku planu liniami rozgraniczającymi i oznaczony symbolem cyfrowo-literowym służącym identyfikacji ustaleń w tekście planu;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usługach nieuciążliwych dla zabudowy mieszka</w:t>
      </w:r>
      <w:r>
        <w:rPr>
          <w:color w:val="000000"/>
          <w:u w:color="000000"/>
        </w:rPr>
        <w:t>niowej – należy przez to rozumieć działalność usługową obejmującą następujące podgrupy usług: biurowych, fryzjerskich i kosmetycznych, handlu detalicznego oraz gabinety lekarskie, terapeutyczne i zajęciowe;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zieleni izolacyjnej – należy przez to rozumie</w:t>
      </w:r>
      <w:r>
        <w:rPr>
          <w:color w:val="000000"/>
          <w:u w:color="000000"/>
        </w:rPr>
        <w:t>ć roślinność o przeważającym składzie gatunków drzew i krzewów, których dojrzałe formy osiągają wysokość nie mniejszą niż 2,0 m, ukształtowaną w taki sposób, aby spełniać funkcje całorocznej przesłony wizualnej i bariery akustycznej oraz bariery przed zani</w:t>
      </w:r>
      <w:r>
        <w:rPr>
          <w:color w:val="000000"/>
          <w:u w:color="000000"/>
        </w:rPr>
        <w:t>eczyszczeniami i hałasem;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zieleń urządzona – należy przez to rozumieć ukształtowane w sposób zaplanowany zespoły roślinności składające się z drzew, krzewów i zieleni niskiej wraz z obiektami małej architektury, oczkami wodnymi, urządzeniami rekreacyjn</w:t>
      </w:r>
      <w:r>
        <w:rPr>
          <w:color w:val="000000"/>
          <w:u w:color="000000"/>
        </w:rPr>
        <w:t>ymi oraz ciągami pieszymi i ścieżkami rowerowymi.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przestrzennego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Zasady zagospodarowania </w:t>
      </w:r>
      <w:r>
        <w:rPr>
          <w:color w:val="000000"/>
          <w:u w:color="000000"/>
        </w:rPr>
        <w:t>terenów: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dopuszczenie na całym obszarze planu realizacji elementów zagospodarowania takich jak: infrastruktura techniczna, urządzenia budowlane, urządzenia sportowo-rekreacyjne, dojazdy, ciągi piesze, pieszo-jezdne i ścieżki rowerowe, zieleń urządzona, </w:t>
      </w:r>
      <w:r>
        <w:rPr>
          <w:color w:val="000000"/>
          <w:u w:color="000000"/>
        </w:rPr>
        <w:t>zieleń izolacyjna, obiekty małej architektury, elementy Systemu Identyfikacji Miejskiej oraz elementy wyposażenia miejskiego, z zachowaniem pozostałych ustaleń planu oraz z uwzględnieniem przepisów odrębnych;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</w:t>
      </w:r>
      <w:r>
        <w:rPr>
          <w:color w:val="000000"/>
          <w:u w:color="000000"/>
        </w:rPr>
        <w:t>cji inwestycji celu publicznego z zakresu łączności publicznej, z uwzględnieniem przepisów Rozdziału 13;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na całym obszarze planu sytuowania budynków na działce budowlanej w odległości 1,5 m od granicy działki lub bezpośrednio przy tej grani</w:t>
      </w:r>
      <w:r>
        <w:rPr>
          <w:color w:val="000000"/>
          <w:u w:color="000000"/>
        </w:rPr>
        <w:t>cy, z zachowaniem pozostałych ustaleń planu;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oznaczone na rysunku planu nieprzekraczalne linie zabudowy nie dotyczą związanych z infrastrukturą techniczną i telekomunikacyjną: budynków, budowli, obiektów i urządzeń.</w:t>
      </w:r>
    </w:p>
    <w:p w:rsidR="00A77B3E" w:rsidRDefault="00285C11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Zasady ochrony </w:t>
      </w:r>
      <w:r>
        <w:rPr>
          <w:b/>
          <w:color w:val="000000"/>
          <w:u w:color="000000"/>
        </w:rPr>
        <w:t>środowiska, przyrody i krajobrazu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 zdrowia ludzi, a w szczególności przedsięwzięć mogących spowodować ryzyko wystąpienia poważnych awari</w:t>
      </w:r>
      <w:r>
        <w:rPr>
          <w:color w:val="000000"/>
          <w:u w:color="000000"/>
        </w:rPr>
        <w:t>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Ministrów z dnia 10 września 2019 r. w sprawie przedsięwzięć mogących znacząco oddziaływać na środowisko, z</w:t>
      </w:r>
      <w:r>
        <w:rPr>
          <w:color w:val="000000"/>
          <w:u w:color="000000"/>
        </w:rPr>
        <w:t> wyłączeniem przedsięwzięć związanych z realizacją i remontami: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infrastruktury technicznej,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inwestycji celu publicznego z zakresu łączności publicznej,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podziemnego wydobycia kopalin,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poszukiwania i rozpoznawania złóż kopalin,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poszukiwania i </w:t>
      </w:r>
      <w:r>
        <w:rPr>
          <w:color w:val="000000"/>
          <w:u w:color="000000"/>
        </w:rPr>
        <w:t>rozpoznawania wód podziemnych;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zasięg oddziaływania na środowisko działalności prowadzonej na poszczególnych terenach nie może przekraczać granicy nieruchomości, do której prowadzący działalność posiada tytuł prawny.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wskazuje się teren oznaczony symbolem 1MNW, na którym obowiązują poziomy hałasu jak dla terenów przeznaczonych pod zabudowę mieszkaniową jednorodzinną, dla których </w:t>
      </w:r>
      <w:r>
        <w:rPr>
          <w:color w:val="000000"/>
          <w:u w:color="000000"/>
        </w:rPr>
        <w:lastRenderedPageBreak/>
        <w:t xml:space="preserve">określono dopuszczalne poziomy hałasu zgodnie z ustawą z dnia 27 kwietnia 2001 r. Prawo </w:t>
      </w:r>
      <w:r>
        <w:rPr>
          <w:color w:val="000000"/>
          <w:u w:color="000000"/>
        </w:rPr>
        <w:t>ochrony środowiska;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stosowania zabezpieczeń akustycznych od ponadnormatywnego oddziaływania akustycznego od istniejących ciągów komunikacyjnych oraz przy realizacji nowej i przebudowie istniejącej zabudowy wymagającej ochrony przed hałasem – zgodn</w:t>
      </w:r>
      <w:r>
        <w:rPr>
          <w:color w:val="000000"/>
          <w:u w:color="000000"/>
        </w:rPr>
        <w:t>ie z rozporządzeniem Ministra Infrastruktury z dnia 12 kwietnia 2002 r. w sprawie warunków technicznych, jakim powinny odpowiadać budynki i ich usytuowanie.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zakresie ochrony przed promieniowaniem elektromagnetycznym ustala się, że poziom pól </w:t>
      </w:r>
      <w:r>
        <w:rPr>
          <w:color w:val="000000"/>
          <w:u w:color="000000"/>
        </w:rPr>
        <w:t>elektromagnetycznych w środowisku nie może przekraczać dopuszczalnych wartości określonych w ustawie z dnia 27 kwietnia 2001 r. Prawo ochrony środowiska, przy czym dla terenu oznaczonego na rysunku planu symbolem 1MNW obowiązują dopuszczalne poziomy pól el</w:t>
      </w:r>
      <w:r>
        <w:rPr>
          <w:color w:val="000000"/>
          <w:u w:color="000000"/>
        </w:rPr>
        <w:t>ektromagnetycznych jak dla terenów przeznaczonych pod zabudowę mieszkaniową.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zapobiegania powstawaniu emisji i ograniczania wprowadzanych do powietrza substancji – zgodnie z ustawą z dnia 27 kwietnia 2001 r. Prawo </w:t>
      </w:r>
      <w:r>
        <w:rPr>
          <w:color w:val="000000"/>
          <w:u w:color="000000"/>
        </w:rPr>
        <w:t>ochrony środowiska;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materiałów pylących.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zachowania ciągłości systemu melioracji;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naruszenia istniejących urządzeń wodnych i melioracyjnych, tj. rowów otwarty</w:t>
      </w:r>
      <w:r>
        <w:rPr>
          <w:color w:val="000000"/>
          <w:u w:color="000000"/>
        </w:rPr>
        <w:t>ch oraz drenażu, nakaz przebudowy tych urządzeń lub budowy nowych;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opóźniania spływu wód opadowych i roztopowych do odbiorników we własnym zakresie w obrębie działki;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</w:t>
      </w:r>
      <w:r>
        <w:t>) </w:t>
      </w:r>
      <w:r>
        <w:rPr>
          <w:color w:val="000000"/>
          <w:u w:color="000000"/>
        </w:rPr>
        <w:t>nakaz realizacji obiektów w sposób niepowodujący zmiany stosunków wodnych na obszarze planu;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zakaz realizacji inwestycji mogących prowadzić do zanieczyszczenia wód podziemnych i wód powierzchniowych;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ze względu na położenie części obszaru planu w </w:t>
      </w:r>
      <w:r>
        <w:rPr>
          <w:color w:val="000000"/>
          <w:u w:color="000000"/>
        </w:rPr>
        <w:t>granicach Głównego Zbiornika Wód Podziemnych GZWP nr 329 – Zbiornik Bytom, na obszarze tym zakazuje się: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realizacji inwestycji, które mogą zanieczyścić wody podziemne ze względu na wytwarzane ścieki, odpady oraz emitowane pyły i gazy,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realizacji inwe</w:t>
      </w:r>
      <w:r>
        <w:rPr>
          <w:color w:val="000000"/>
          <w:u w:color="000000"/>
        </w:rPr>
        <w:t>stycji mogących pogorszyć stan środowiska wodnego;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ze względu na położenie części obszaru planu w granicach Głównego Zbiornika Wód Podziemnych GZWP nr 330 – Zbiornik Gliwice wraz z ustanowionym obszarem ochronnym, na obszarze tym obowiązują działania za</w:t>
      </w:r>
      <w:r>
        <w:rPr>
          <w:color w:val="000000"/>
          <w:u w:color="000000"/>
        </w:rPr>
        <w:t>warte w rozporządzeniu Wojewody Śląskiego z dnia 25 września 2023 r. w sprawie ustanowienia obszaru ochronnego Głównego Zbiornika Wód Podziemnych nr 330 – Zbiornik Gliwice.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</w:t>
      </w:r>
      <w:r>
        <w:rPr>
          <w:color w:val="000000"/>
          <w:u w:color="000000"/>
        </w:rPr>
        <w:t>dów komunalnych przy zastosowaniu osłon oraz zabezpieczeń przed infiltracją wód opadowych;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 zbieraniu i przetwarzaniu odpadów, w tym surowców wtórnych, złomu i po</w:t>
      </w:r>
      <w:r>
        <w:rPr>
          <w:color w:val="000000"/>
          <w:u w:color="000000"/>
        </w:rPr>
        <w:t>jazdów wycofanych z eksploatacji, przy czym przez przetwarzanie odpadów należy rozumieć także składowanie odpadów.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</w:t>
      </w:r>
      <w:r>
        <w:rPr>
          <w:color w:val="000000"/>
          <w:u w:color="000000"/>
        </w:rPr>
        <w:t>ządzoną lub izolacyjną powierzchni niezabudowanych lub nieutwardzonych;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materiałów bezpośrednio na powierzchni gruntu bez zabezpieczenia powierzchni przed infiltracją wód opadowych.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ochrony przyrody: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cały </w:t>
      </w:r>
      <w:r>
        <w:rPr>
          <w:color w:val="000000"/>
          <w:u w:color="000000"/>
        </w:rPr>
        <w:t>obszar objęty planem położony jest w granicy Specjalnego Obszaru Ochrony Siedlisk Natura 2000 „Podziemia Tarnogórsko-Bytomskie” o symbolu PLH240003, zatwierdzonego decyzją Komisji Europejskiej 2008/25/WE z dnia 13 listopada 2007 r.;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obszaru, o który</w:t>
      </w:r>
      <w:r>
        <w:rPr>
          <w:color w:val="000000"/>
          <w:u w:color="000000"/>
        </w:rPr>
        <w:t>m mowa w pkt 1, obowiązują działania zawarte w planie zadań ochronnych – zarządzenie Regionalnego Dyrektora Ochrony Środowiska w Katowicach z dnia 24 kwietnia 2014 r. w sprawie ustanowienia planu zadań ochronnych dla obszaru Natura 2000 Podziemia Tarnogórs</w:t>
      </w:r>
      <w:r>
        <w:rPr>
          <w:color w:val="000000"/>
          <w:u w:color="000000"/>
        </w:rPr>
        <w:t>ko-Bytomskie PLH240003, zmienione zarządzeniem Regionalnego Dyrektora Ochrony Środowiska w Katowicach z dnia 18 maja 2015 r. o zmianie zarządzenia w sprawie ustanowienia planu zadań ochronnych dla obszaru Natura 2000 Podziemia Tarnogórsko-Bytomskie PLH2400</w:t>
      </w:r>
      <w:r>
        <w:rPr>
          <w:color w:val="000000"/>
          <w:u w:color="000000"/>
        </w:rPr>
        <w:t>03 oraz zarządzeniem Regionalnego Dyrektora Ochrony Środowiska w Katowicach z dnia 20 lipca 2023 r. o zmianie zarządzenia w sprawie ustanowienia planu zadań ochronnych dla obszaru Natura 2000 Podziemia Tarnogórsko-Bytomskie PLH240003.</w:t>
      </w:r>
    </w:p>
    <w:p w:rsidR="00A77B3E" w:rsidRDefault="00285C11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Zasady </w:t>
      </w:r>
      <w:r>
        <w:rPr>
          <w:b/>
          <w:color w:val="000000"/>
          <w:u w:color="000000"/>
        </w:rPr>
        <w:t>kształtowania krajobrazu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Zakaz stosowania sidingu elewacyjnego do wykończenia elewacji budynków.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na elewacji budynku kolorów jaskrawych lub fosforyzujących.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Nakaz stosowania ujednoliconej kolorystyki elewacji i ujednoliconej </w:t>
      </w:r>
      <w:r>
        <w:rPr>
          <w:color w:val="000000"/>
          <w:u w:color="000000"/>
        </w:rPr>
        <w:t>kolorystyki dachów w granicach działki budowlanej.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zabytków, w tym krajobrazów kulturowych oraz dóbr kultury współczesnej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Na obszarze planu nie ustala się zasad ochrony dziedzictwa kulturowego i zab</w:t>
      </w:r>
      <w:r>
        <w:rPr>
          <w:color w:val="000000"/>
          <w:u w:color="000000"/>
        </w:rPr>
        <w:t>ytków, w tym krajobrazów kulturowych oraz dóbr kultury współczesnej.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Na obszarze planu nie występują obszary przestrzeni publicznych w rozumieniu ustawy z dnia 27 marca </w:t>
      </w:r>
      <w:r>
        <w:rPr>
          <w:color w:val="000000"/>
          <w:u w:color="000000"/>
        </w:rPr>
        <w:t>2003 r. o planowaniu i zagospodarowaniu przestrzennym, wobec czego nie formułuje się ustaleń dotyczących wymagań wynikających z potrzeb ich kształtowania.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podlegających ochronie, na podsta</w:t>
      </w:r>
      <w:r>
        <w:rPr>
          <w:b/>
          <w:color w:val="000000"/>
          <w:u w:color="000000"/>
        </w:rPr>
        <w:t>wie odrębnych przepisów, terenów górniczych, a także obszarów szczególnego zagrożenia powodzią, obszarów osuwania się mas ziemnych, krajobrazów priorytetowych określonych w audycie krajobrazowym oraz w planach zagospodarowania przestrzennego województwa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10. </w:t>
      </w:r>
      <w:r>
        <w:t>1. </w:t>
      </w:r>
      <w:r>
        <w:rPr>
          <w:color w:val="000000"/>
          <w:u w:color="000000"/>
        </w:rPr>
        <w:t>Na obszarze planu nie występują udokumentowane złoża kopalin.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tereny i obszary górnicze.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części obszaru objętego planem, zgodnie z informacjami archiwalnymi, prowadzona była płytka eksploatacja rudna i występ</w:t>
      </w:r>
      <w:r>
        <w:rPr>
          <w:color w:val="000000"/>
          <w:u w:color="000000"/>
        </w:rPr>
        <w:t>ują wyrobiska mające połączenie z powierzchnią – zlikwidowane szyby i szybiki, które na rysunku planu oznaczono w celach informacyjnych.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obszarze planu nie występują obszary szczególnego zagrożenia powodzią, obszary osuwania się mas ziemnych oraz kra</w:t>
      </w:r>
      <w:r>
        <w:rPr>
          <w:color w:val="000000"/>
          <w:u w:color="000000"/>
        </w:rPr>
        <w:t>jobrazy priorytetowe, wobec czego nie formułuje się ustaleń dotyczących: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osuwania się mas ziemnych;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</w:t>
      </w:r>
      <w:r>
        <w:rPr>
          <w:color w:val="000000"/>
          <w:u w:color="000000"/>
        </w:rPr>
        <w:t>darowania krajobrazów priorytetowych.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Ze względu na położenie całego obszaru planu w granicy Specjalnego Obszaru Ochrony Siedlisk Natura 2000 „Podziemia Tarnogórsko-Bytomskie” ustala się nakaz realizacji zabudowy i zagospodarowania terenów, w tym lokali</w:t>
      </w:r>
      <w:r>
        <w:rPr>
          <w:color w:val="000000"/>
          <w:u w:color="000000"/>
        </w:rPr>
        <w:t>zowania inwestycji i przedsięwzięć – zgodnie z planem zadań ochronnych wydanym zarządzeniem Regionalnego Dyrektora Ochrony Środowiska w Katowicach z dnia 24 kwietnia 2014 r. w sprawie ustanowienia planu zadań ochronnych dla obszaru Natura 2000 Podziemia Ta</w:t>
      </w:r>
      <w:r>
        <w:rPr>
          <w:color w:val="000000"/>
          <w:u w:color="000000"/>
        </w:rPr>
        <w:t>rnogórsko-Bytomskie PLH240003, zmienionym zarządzeniem Regionalnego Dyrektora Ochrony Środowiska w Katowicach z dnia 18 maja 2015 r. o zmianie zarządzenia w sprawie ustanowienia planu zadań ochronnych dla obszaru Natura 2000 Podziemia Tarnogórsko-Bytomskie</w:t>
      </w:r>
      <w:r>
        <w:rPr>
          <w:color w:val="000000"/>
          <w:u w:color="000000"/>
        </w:rPr>
        <w:t xml:space="preserve"> PLH240003 oraz zarządzeniem Regionalnego Dyrektora Ochrony Środowiska w Katowicach z dnia 20 lipca 2023 r. o zmianie zarządzenia w sprawie ustanowienia planu zadań ochronnych dla obszaru Natura 2000 Podziemia Tarnogórsko-Bytomskie PLH240003.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Ze względu</w:t>
      </w:r>
      <w:r>
        <w:rPr>
          <w:color w:val="000000"/>
          <w:u w:color="000000"/>
        </w:rPr>
        <w:t xml:space="preserve"> na położenie obszaru planu w granicach Głównego Zbiornika Wód Podziemnych GZWP nr 330 Gliwice wraz z ustanowionym obszarem ochronnym, obowiązują działania zawarte w rozporządzeniu Wojewody Śląskiego z dnia 25 września 2023 r. w sprawie ustanowienia obszar</w:t>
      </w:r>
      <w:r>
        <w:rPr>
          <w:color w:val="000000"/>
          <w:u w:color="000000"/>
        </w:rPr>
        <w:t>u ochronnego Głównego Zbiornika Wód Podziemnych nr 330 – Zbiornik Gliwice.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Szczegółowe zasady i warunki scalania i podziału nieruchomości objętych planem miejscowym, w tym parametry działek uzyskiwanych w wyniku scalania i podziału </w:t>
      </w:r>
      <w:r>
        <w:rPr>
          <w:b/>
          <w:color w:val="000000"/>
          <w:u w:color="000000"/>
        </w:rPr>
        <w:t>nieruchomości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 16,0 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 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kąt położenia granic działek w stosunku </w:t>
      </w:r>
      <w:r>
        <w:rPr>
          <w:color w:val="000000"/>
          <w:u w:color="000000"/>
        </w:rPr>
        <w:t>do pasa drogowego: 90° z dopuszczeniem odchylenia o 10°.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ust. 1 parametry działek nie dotyczą wydzielania działek pod infrastrukturę techniczną.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</w:t>
      </w:r>
      <w:r>
        <w:rPr>
          <w:b/>
          <w:color w:val="000000"/>
          <w:u w:color="000000"/>
        </w:rPr>
        <w:t>ym zakaz zabudowy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Dla istniejącej zabudowy na działkach budowlanych, na których w momencie wejścia w życie planu przekroczone zostały zasady ustalone w niniejszym planie, w tym przeznaczenie oraz parametry i wskaźniki zabudowy lub zagospodarowania</w:t>
      </w:r>
      <w:r>
        <w:rPr>
          <w:color w:val="000000"/>
          <w:u w:color="000000"/>
        </w:rPr>
        <w:t xml:space="preserve"> terenu, ustala się zakaz rozbudowy, która powodowałaby dalsze przekroczenie zasad, parametrów i wskaźników zabudowy lub zagospodarowania terenu, za wyjątkiem rozbudowy o elementy takie jak: wejścia do budynku, dostosowanie wejść dla potrzeb osób niepełnos</w:t>
      </w:r>
      <w:r>
        <w:rPr>
          <w:color w:val="000000"/>
          <w:u w:color="000000"/>
        </w:rPr>
        <w:t>prawnych, zadaszenia wejść oraz docieplenia budynku.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terenu położonego na obszarze niniejszego planu w strefie w odległości 500,0 m od granicy istniejącego cmentarza, oznaczonej graficznie na rysunku planu, zakazuje się lokalizowania ujęć wody o cha</w:t>
      </w:r>
      <w:r>
        <w:rPr>
          <w:color w:val="000000"/>
          <w:u w:color="000000"/>
        </w:rPr>
        <w:t>rakterze zbiorników wodnych, służących jako źródło zaopatrzenia sieci wodociągowej w wodę do picia i potrzeb gospodarczych.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Zakaz lokalizacji urządzeń wytwarzających energię z odnawialnych źródeł energii, wykorzystujących energię wiatru, za wyjątkiem mi</w:t>
      </w:r>
      <w:r>
        <w:rPr>
          <w:color w:val="000000"/>
          <w:u w:color="000000"/>
        </w:rPr>
        <w:t>kroinstalacji w rozumieniu ustawy z dnia 20 lutego 2015 r. o odnawialnych źródłach energii.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 lokalizacji instalacji fotowoltaicznych, w tym ich urządzeń, za wyjątkiem instalacji fotowoltaicznych, w tym ich urządzeń, służących wyłącznie zaspokajaniu</w:t>
      </w:r>
      <w:r>
        <w:rPr>
          <w:color w:val="000000"/>
          <w:u w:color="000000"/>
        </w:rPr>
        <w:t xml:space="preserve"> potrzeb zabudowy zlokalizowanej na tej samej działce budowlanej.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Zakaz lokalizacji tymczasowych obiektów budowlanych.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maksymalną wysokość obiektów budowlanych takich jak: garaże, oranżerie, budynki gospodarcze, wiaty, obiekty małej archit</w:t>
      </w:r>
      <w:r>
        <w:rPr>
          <w:color w:val="000000"/>
          <w:u w:color="000000"/>
        </w:rPr>
        <w:t>ektury, odpowiadającą wysokości budynków dla przedmiotowego terenu oraz przy uwzględnieniu ustaleń szczegółowych.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budowy systemów komunikacji i infrastruktury technicznej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Ustala się obsługę </w:t>
      </w:r>
      <w:r>
        <w:rPr>
          <w:color w:val="000000"/>
          <w:u w:color="000000"/>
        </w:rPr>
        <w:t>komunikacyjną terenu z istniejącego oraz projektowanego układu drogowego.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poprzez istniejącą ulicę Tadeusza Boya-Żeleńskiego (położoną poza obszarem planu).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obsługi parkingowej</w:t>
      </w:r>
      <w:r>
        <w:rPr>
          <w:color w:val="000000"/>
          <w:u w:color="000000"/>
        </w:rPr>
        <w:t xml:space="preserve"> na obszarze objętym planem ustala się: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budowlanej w ilości dostosowanej do rodzaju zabudowy i skali prowadzonej działalności, przy czym ustala się następującą minimalną liczbę miejsc do parkowan</w:t>
      </w:r>
      <w:r>
        <w:rPr>
          <w:color w:val="000000"/>
          <w:u w:color="000000"/>
        </w:rPr>
        <w:t>ia: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 – 2 miejsca parkingowe na jeden lokal mieszkalny,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lokali handlowych – 1 miejsce parkingowe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innych, niewymienionych wyżej działalności – 1 miejsce pa</w:t>
      </w:r>
      <w:r>
        <w:rPr>
          <w:color w:val="000000"/>
          <w:u w:color="000000"/>
        </w:rPr>
        <w:t>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6 – 15,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</w:t>
      </w:r>
      <w:r>
        <w:rPr>
          <w:color w:val="000000"/>
          <w:u w:color="000000"/>
        </w:rPr>
        <w:t>nosi 16 – 40,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41 – 100,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jeżeli ogólna liczba stanowisk wynosi więcej niż 100;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wliczania powierzchni miejsc parkingowych, o których mowa w pkt 1 i 2, w powier</w:t>
      </w:r>
      <w:r>
        <w:rPr>
          <w:color w:val="000000"/>
          <w:u w:color="000000"/>
        </w:rPr>
        <w:t>zchnię biologicznie czynną działki budowlanej.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realizację sieci infrastruktury technicznej: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</w:t>
      </w:r>
      <w:r>
        <w:rPr>
          <w:color w:val="000000"/>
          <w:u w:color="000000"/>
        </w:rPr>
        <w:t>homości lub w ich bezpośrednim sąsiedztwie;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realizacji sieci infrastruktury technicznej w sposób inny niż określony w pkt 1, jeżeli nie spowoduje to ograniczenia ustalonego planem przeznaczenia terenu.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rozbudowę, przebudowę</w:t>
      </w:r>
      <w:r>
        <w:rPr>
          <w:color w:val="000000"/>
          <w:u w:color="000000"/>
        </w:rPr>
        <w:t xml:space="preserve"> oraz zmianę przebiegu sieci i urządzeń infrastruktury technicznej zlokalizowanych w obszarze objętym planem, z zastrzeżeniem ust. 1, a w przypadku realizacji ich nowego przebiegu – dopuszczenie likwidacji dotychczasowych odcinków sieci lub urządzeń infras</w:t>
      </w:r>
      <w:r>
        <w:rPr>
          <w:color w:val="000000"/>
          <w:u w:color="000000"/>
        </w:rPr>
        <w:t>truktury technicznej.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nakaz zapewnienia właściwego standardu </w:t>
      </w:r>
      <w:r>
        <w:rPr>
          <w:color w:val="000000"/>
          <w:u w:color="000000"/>
        </w:rPr>
        <w:t>zasilania w wodę dla ochrony przeciwpożarowej.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wód deszczowych: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do kanalizacji miejskiej, z zastrzeżeniem pkt 2 i 3;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dopuszczenie, do czasu realizacji kanalizacji </w:t>
      </w:r>
      <w:r>
        <w:rPr>
          <w:color w:val="000000"/>
          <w:u w:color="000000"/>
        </w:rPr>
        <w:t>sanitarnej, odprowadzenia ścieków sanitarnych zgodnie z przepisami ustawy z dnia 13 września 1996 r. o utrzymaniu czystości i porządku w gminach;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lipca 2017 r. Prawo wodne</w:t>
      </w:r>
      <w:r>
        <w:rPr>
          <w:color w:val="000000"/>
          <w:u w:color="000000"/>
        </w:rPr>
        <w:t>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ciepła z miejskiej sieci ciepłowniczej zdalaczynnej, z zastrzeżeniem pkt 2;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</w:t>
      </w:r>
      <w:r>
        <w:rPr>
          <w:color w:val="000000"/>
          <w:u w:color="000000"/>
        </w:rPr>
        <w:t>tujących odnawialne źródła energii.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istniejącą i projektowaną sieć gazową;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</w:t>
      </w:r>
      <w:r>
        <w:rPr>
          <w:color w:val="000000"/>
          <w:u w:color="000000"/>
        </w:rPr>
        <w:t>ktryczną: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indywidualnych urządzeń prądotwórczych wykorzystujących odnawialne źródła energii, z zastrzeżeniem § 12 ust. 4 i 5.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</w:t>
      </w:r>
      <w:r>
        <w:rPr>
          <w:color w:val="000000"/>
          <w:u w:color="000000"/>
        </w:rPr>
        <w:t>kresie telekomunikacji: rozbudowa sieci telekomunikacyjnej, budowa nowych urządzeń i sieci telekomunikacyjnych w celu zaspokojenia potrzeb w tym zakresie.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Ni</w:t>
      </w:r>
      <w:r>
        <w:rPr>
          <w:color w:val="000000"/>
          <w:u w:color="000000"/>
        </w:rPr>
        <w:t>e ustala się sposobu i terminu tymczasowego zagospodarowania, urządzania i użytkowania terenu objętego planem.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Stawki procentowe, na podstawie których ustala się opłatę, o której mowa w art. 36 ust. 4 ustawy o planowaniu i zagospodarowaniu </w:t>
      </w:r>
      <w:r>
        <w:rPr>
          <w:b/>
          <w:color w:val="000000"/>
          <w:u w:color="000000"/>
        </w:rPr>
        <w:t>przestrzennym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Dla terenu objętego planem określa się stawkę procentową, na podstawie której ustala się opłatę, o której mowa w art. 36 ust. 4 ustawy z dnia 27 marca 2003 r. o planowaniu i zagospodarowaniu przestrzennym w wysokości 30% (słownie: trzyd</w:t>
      </w:r>
      <w:r>
        <w:rPr>
          <w:color w:val="000000"/>
          <w:u w:color="000000"/>
        </w:rPr>
        <w:t>zieści procent).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zagospodarowania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Dla terenu oznaczonego na rysunku planu symbolem 1MNW – teren zabudowy mieszkaniowej jednorodzinnej wolnostojącej ustala s</w:t>
      </w:r>
      <w:r>
        <w:rPr>
          <w:color w:val="000000"/>
          <w:u w:color="000000"/>
        </w:rPr>
        <w:t xml:space="preserve">ię: 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zabudowy mieszkaniowej jednorodzinnej wolnostojącej;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usługi z zakresu usług nieuciążliwych dla zabudowy mieszkaniowej, z zastrzeżeniem pkt 2;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towarzysząca za</w:t>
      </w:r>
      <w:r>
        <w:rPr>
          <w:color w:val="000000"/>
          <w:u w:color="000000"/>
        </w:rPr>
        <w:t>budowie mieszkaniowej, usytuowana na tej samej działce budowlanej.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</w:t>
      </w:r>
      <w:r>
        <w:rPr>
          <w:color w:val="000000"/>
          <w:u w:color="000000"/>
        </w:rPr>
        <w:t>maksymalny wskaźnik nadziemnej intensywności zabudowy: od 0,001 do 1,0;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spadowe, kąt nachylenia połaci dachowych do 45</w:t>
      </w:r>
      <w:r>
        <w:rPr>
          <w:color w:val="000000"/>
          <w:u w:color="000000"/>
          <w:vertAlign w:val="superscript"/>
        </w:rPr>
        <w:t>°</w:t>
      </w:r>
      <w:r>
        <w:rPr>
          <w:color w:val="000000"/>
          <w:u w:color="000000"/>
        </w:rPr>
        <w:t>.</w:t>
      </w:r>
    </w:p>
    <w:p w:rsidR="00A77B3E" w:rsidRDefault="00285C11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19. </w:t>
      </w:r>
      <w:r>
        <w:rPr>
          <w:color w:val="000000"/>
          <w:u w:color="000000"/>
        </w:rPr>
        <w:t>Uchwała wchodzi w życie po upływie 14 dni od dnia jej ogłoszenia w Dzienniku Urzędowym Województwa Śląskiego.</w:t>
      </w:r>
    </w:p>
    <w:p w:rsidR="00A77B3E" w:rsidRDefault="00285C11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 nr 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285C11">
      <w:pPr>
        <w:keepNext/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Załącznik nr 2 do </w:t>
      </w:r>
      <w:r>
        <w:rPr>
          <w:color w:val="000000"/>
          <w:u w:color="000000"/>
        </w:rPr>
        <w:t>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285C11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285C11">
      <w:pPr>
        <w:keepLines/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Na </w:t>
      </w:r>
      <w:r>
        <w:rPr>
          <w:color w:val="000000"/>
          <w:u w:color="000000"/>
        </w:rPr>
        <w:t>podstawie art. 20 ust. 1 ustawy z dnia 27 marca 2003 r. o planowaniu i zagospodarowaniu przestrzennym (Dz. U. z 2026 r. poz. 538) odstępuje się od wyrażenia stanowiska wobec uwag nieuwzględnionych przez Prezydenta Miasta ze względu na fakt, iż brak jest ta</w:t>
      </w:r>
      <w:r>
        <w:rPr>
          <w:color w:val="000000"/>
          <w:u w:color="000000"/>
        </w:rPr>
        <w:t>kich uwag do projektu miejscowego planu zagospodarowania przestrzennego Gminy Bytom – etap VI – dla terenu położonego przy ul. Tadeusza Boya-Żeleńskiego, wyłożonego do publicznego wglądu w dniach od 6 maja 2026 r. do 3 czerwca 2026 r. (jak również uwagi ta</w:t>
      </w:r>
      <w:r>
        <w:rPr>
          <w:color w:val="000000"/>
          <w:u w:color="000000"/>
        </w:rPr>
        <w:t>kie nie wpłynęły po wyłożeniu, w terminie wyznaczonym do ich wnoszenia, tj. do dnia 17 czerwca 2026 r.).</w:t>
      </w:r>
    </w:p>
    <w:p w:rsidR="00A77B3E" w:rsidRDefault="00285C11">
      <w:pPr>
        <w:keepNext/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 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285C11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</w:t>
      </w:r>
      <w:r>
        <w:rPr>
          <w:b/>
          <w:color w:val="000000"/>
          <w:u w:color="000000"/>
        </w:rPr>
        <w:t>isanych w planie, inwestycji z zakresu infrastruktury technicznej, które należą do zadań własnych gminy oraz zasadach ich finansowania, zgodnie z przepisami o finansach publicznych</w:t>
      </w:r>
    </w:p>
    <w:p w:rsidR="00A77B3E" w:rsidRDefault="00285C11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</w:t>
      </w:r>
      <w:r>
        <w:rPr>
          <w:color w:val="000000"/>
          <w:u w:color="000000"/>
        </w:rPr>
        <w:t>agospodarowaniu przestrzennym (Dz. U. z 2026 r. poz. 538) rozstrzyga się, co następuje: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związku z uchwaleniem miejscowego planu zagospodarowania przestrzennego Gminy Bytom – etap VI – dla terenu położonego przy ul. Tadeusza Boya-Żeleńskiego, </w:t>
      </w:r>
      <w:r>
        <w:rPr>
          <w:color w:val="000000"/>
          <w:u w:color="000000"/>
        </w:rPr>
        <w:t>Gmina Bytom może ponieść wydatki na inwestycje z zakresu infrastruktury technicznej i dróg.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1, będą: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285C1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w ramach m. in.</w:t>
      </w:r>
      <w:r>
        <w:rPr>
          <w:color w:val="000000"/>
          <w:u w:color="000000"/>
        </w:rPr>
        <w:t>: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285C1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285C1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Prognozowany okres realizacji inwestycji, wymienionych w § 1 ust. 1 przyjmuje się sukcesywnie, w miarę pozyskiwania środków finansowych oraz w oparciu o aktualne potrzeby mieszkańców, określane w budżetach rocznych.</w:t>
      </w:r>
    </w:p>
    <w:p w:rsidR="00A77B3E" w:rsidRDefault="00285C11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 nr  4 do uchwały</w:t>
      </w:r>
      <w:r>
        <w:rPr>
          <w:color w:val="000000"/>
          <w:u w:color="000000"/>
        </w:rPr>
        <w:t xml:space="preserve"> Nr .........</w:t>
      </w:r>
      <w:r>
        <w:rPr>
          <w:color w:val="000000"/>
          <w:u w:color="000000"/>
        </w:rPr>
        <w:t>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Zalacznik4.gml</w:t>
        </w:r>
      </w:hyperlink>
    </w:p>
    <w:p w:rsidR="00A77B3E" w:rsidRDefault="00285C11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 xml:space="preserve">Dane przestrzenne, o których mowa w art. 67a ust. 3 i 5 </w:t>
      </w:r>
      <w:r>
        <w:rPr>
          <w:b/>
          <w:color w:val="000000"/>
          <w:u w:color="000000"/>
        </w:rPr>
        <w:t>ustawy z dnia 27 marca 2003 r. o planowaniu i zagospodarowaniu przestrzennym (j.t. Dz.U. z 2020 r. poz. 293 z późn. zm.) ujawnione zostaną po kliknięciu w ikonę</w:t>
      </w:r>
    </w:p>
    <w:p w:rsidR="009D38FE" w:rsidRDefault="009D38FE">
      <w:pPr>
        <w:rPr>
          <w:rFonts w:eastAsia="Times New Roman" w:cs="Times New Roman"/>
          <w:szCs w:val="20"/>
        </w:rPr>
      </w:pPr>
    </w:p>
    <w:p w:rsidR="009D38FE" w:rsidRDefault="00285C1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VI – dla terenu</w:t>
      </w:r>
      <w:r>
        <w:rPr>
          <w:rFonts w:eastAsia="Times New Roman" w:cs="Times New Roman"/>
          <w:szCs w:val="20"/>
        </w:rPr>
        <w:t xml:space="preserve"> położonego przy ul. Tadeusza Boya-Żeleńskiego opracowany został na podstawie uchwały nr LXXII/915/22 Rady Miejskiej w Bytomiu z dnia 19 grudnia 2022 r. w sprawie przystąpienia do sporządzenia miejscowego planu zagospodarowania przestrzennego Gminy Bytom i</w:t>
      </w:r>
      <w:r>
        <w:rPr>
          <w:rFonts w:eastAsia="Times New Roman" w:cs="Times New Roman"/>
          <w:szCs w:val="20"/>
        </w:rPr>
        <w:t> stanowi VI etap realizacji tejże uchwały.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obejmuje nieruchomości położone na północny zachód od ul. Tadeusza Boya-Żeleńskiego o powierzchni ok. 1,9 ha. Działki objęte przedmiotowym opracowaniem stanowią własność prywatną.</w:t>
      </w:r>
      <w:r>
        <w:rPr>
          <w:rFonts w:eastAsia="Times New Roman" w:cs="Times New Roman"/>
          <w:szCs w:val="20"/>
        </w:rPr>
        <w:br/>
        <w:t>We wsch</w:t>
      </w:r>
      <w:r>
        <w:rPr>
          <w:rFonts w:eastAsia="Times New Roman" w:cs="Times New Roman"/>
          <w:szCs w:val="20"/>
        </w:rPr>
        <w:t>odniej części terenu objętego przedmiotowym opracowaniem, przy ul. Tadeusza Boya-Żeleńskiego, usytuowany jest budynek mieszkalny jednorodzinny, w pobliżu którego</w:t>
      </w:r>
      <w:r>
        <w:rPr>
          <w:rFonts w:eastAsia="Times New Roman" w:cs="Times New Roman"/>
          <w:szCs w:val="20"/>
        </w:rPr>
        <w:br/>
        <w:t>znajduje się staw z groblą. Pozostałe części ww. nieruchomości są niezabudowane i stanowią nie</w:t>
      </w:r>
      <w:r>
        <w:rPr>
          <w:rFonts w:eastAsia="Times New Roman" w:cs="Times New Roman"/>
          <w:szCs w:val="20"/>
        </w:rPr>
        <w:t>użytek porośnięty zielenią niską. Od południowej i wschodniej strony teren objęty niniejszym opracowaniem sąsiaduje z zabudową mieszkaniową jednorodzinną, natomiast od zachodu i północy – z nieużytkami porośniętymi także zielenią niską.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Obecnie, na przedmi</w:t>
      </w:r>
      <w:r>
        <w:rPr>
          <w:rFonts w:eastAsia="Times New Roman" w:cs="Times New Roman"/>
          <w:szCs w:val="20"/>
        </w:rPr>
        <w:t>otowym terenie obowiązuje miejscowy plan zagospodarowania przestrzennego terenu położonego w rejonie ulic: Suchogórskiej  i Tęczowej w Bytomiu – etap II – część południowa, przyjęty uchwałą  nr LIII/720/22 Rady Miejskiej w Bytomiu</w:t>
      </w:r>
      <w:r>
        <w:rPr>
          <w:rFonts w:eastAsia="Times New Roman" w:cs="Times New Roman"/>
          <w:szCs w:val="20"/>
        </w:rPr>
        <w:br/>
        <w:t>z dnia 24 stycznia 2022 r</w:t>
      </w:r>
      <w:r>
        <w:rPr>
          <w:rFonts w:eastAsia="Times New Roman" w:cs="Times New Roman"/>
          <w:szCs w:val="20"/>
        </w:rPr>
        <w:t>. i ogłoszony w Dzienniku Urzędowym Woj. Śl. poz. 903 z dnia 10 lutego 2022 r.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planie tym przedmiotowe nieruchomości położone są, po części, na terenach oznaczonych symbolami: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10 MN – teren zabudowy mieszkaniowej jednorodzinnej (północno-zachodnia częś</w:t>
      </w:r>
      <w:r>
        <w:rPr>
          <w:rFonts w:eastAsia="Times New Roman" w:cs="Times New Roman"/>
          <w:szCs w:val="20"/>
        </w:rPr>
        <w:t>ć terenu),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11MN – teren zabudowy mieszkaniowej jednorodzinnej (wschodnia część terenu),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6ZP – teren zieleni urządzonej (południowo-zachodnia część terenu),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1KDX – teren publicznego ciągu pieszo-jezdnego (centralna część terenu).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został </w:t>
      </w:r>
      <w:r>
        <w:rPr>
          <w:rFonts w:eastAsia="Times New Roman" w:cs="Times New Roman"/>
          <w:szCs w:val="20"/>
        </w:rPr>
        <w:t>sporządzony z uwzględnieniem zasad planowania przestrzennego i nie narusza ustaleń „Studium uwarunkowań i kierunków zagospodarowania przestrzennego Gminy Bytom”, przyjętego uchwałą nr XVI/204/11 Rady Miejskiej w Bytomiu z dnia 24 sierpnia 2011 r., zmienion</w:t>
      </w:r>
      <w:r>
        <w:rPr>
          <w:rFonts w:eastAsia="Times New Roman" w:cs="Times New Roman"/>
          <w:szCs w:val="20"/>
        </w:rPr>
        <w:t>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</w:t>
      </w:r>
      <w:r>
        <w:rPr>
          <w:rFonts w:eastAsia="Times New Roman" w:cs="Times New Roman"/>
          <w:szCs w:val="20"/>
        </w:rPr>
        <w:t>skiej w Bytomiu z dnia 28 maja 2018 r., uchwałą nr XXXII/463/20 Rady Miejskiej w Bytomiu z dnia 28 września 2020 r., uchwałą nr XL/549/21 Rady Miejskiej w Bytomiu z dnia 22 lutego 2021 r., uchwałą nr LXXVI/968/23 Rady Miejskiej w Bytomiu z dnia 27 marca 20</w:t>
      </w:r>
      <w:r>
        <w:rPr>
          <w:rFonts w:eastAsia="Times New Roman" w:cs="Times New Roman"/>
          <w:szCs w:val="20"/>
        </w:rPr>
        <w:t>23 r., uchwałą nr LXXX/1008/23 Rady Miejskiej w Bytomiu z dnia 26 czerwca 2023 r. oraz uchwałą nr LXXXVI/1078/23 Rady Miejskiej w Bytomiu z dnia 27 listopada 2023 r.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Procedura formalno-prawna została przeprowadzona w trybie ustawy z dnia 27 marca 2003 r. o</w:t>
      </w:r>
      <w:r>
        <w:rPr>
          <w:rFonts w:eastAsia="Times New Roman" w:cs="Times New Roman"/>
          <w:szCs w:val="20"/>
        </w:rPr>
        <w:t> planowaniu i zagospodarowaniu przestrzennym (Dz. U. z 2026 r. poz. 538), w szczególności na podstawie art. 17 tej ustawy oraz w związku z art. 67 ust. 3 ustawy z dnia 7 lipca 2023 r. o zmianie ustawy o planowaniu i zagospodarowaniu przestrzennym oraz niek</w:t>
      </w:r>
      <w:r>
        <w:rPr>
          <w:rFonts w:eastAsia="Times New Roman" w:cs="Times New Roman"/>
          <w:szCs w:val="20"/>
        </w:rPr>
        <w:t>tórych innych ustaw (Dz. U. z 2023 r. poz. 1688, z późn. zm.).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zagospodarowaniu przestrzennym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</w:t>
      </w:r>
      <w:r>
        <w:rPr>
          <w:rFonts w:eastAsia="Times New Roman" w:cs="Times New Roman"/>
          <w:szCs w:val="20"/>
        </w:rPr>
        <w:t xml:space="preserve"> miejscowego zawiera ustalenia dotyczące zasad ochrony i kształtowania ładu przestrzennego, ustalenia dotyczące zasad kształtowania zabudowy oraz wskaźniki zagospodarowania terenu. Zapisy te zapewniają uwzględnienie w przedmiotowym opracowaniu wymagań ładu</w:t>
      </w:r>
      <w:r>
        <w:rPr>
          <w:rFonts w:eastAsia="Times New Roman" w:cs="Times New Roman"/>
          <w:szCs w:val="20"/>
        </w:rPr>
        <w:t xml:space="preserve"> przestrzennego, w tym urbanistyki i architektury.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</w:t>
      </w:r>
      <w:r>
        <w:rPr>
          <w:rFonts w:eastAsia="Times New Roman" w:cs="Times New Roman"/>
          <w:szCs w:val="20"/>
        </w:rPr>
        <w:t> in. w zakresie stosowania materiałów elewacyjnych i kolorystyki elewacji budynków. Są to czynniki wpływające niewątpliwie na możliwość kształtowania krajobrazu i architektury oraz ochronę występujących na tym terenie walorów tak architektonicznych jak i k</w:t>
      </w:r>
      <w:r>
        <w:rPr>
          <w:rFonts w:eastAsia="Times New Roman" w:cs="Times New Roman"/>
          <w:szCs w:val="20"/>
        </w:rPr>
        <w:t>rajobrazowych.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krajobrazu, odnoszące się m</w:t>
      </w:r>
      <w:r>
        <w:rPr>
          <w:rFonts w:eastAsia="Times New Roman" w:cs="Times New Roman"/>
          <w:szCs w:val="20"/>
        </w:rPr>
        <w:t>. in. do gospodarowania wodami i ich ochrony, klasyfikacji terenów pod kątem ochrony akustycznej i ochrony przed promieniowaniem elektromagnetycznym, ochrony powietrza, ochrony powierzchni ziemi oraz postępowania z odpadami.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Cały obszar objęty projektem pl</w:t>
      </w:r>
      <w:r>
        <w:rPr>
          <w:rFonts w:eastAsia="Times New Roman" w:cs="Times New Roman"/>
          <w:szCs w:val="20"/>
        </w:rPr>
        <w:t>anu miejscowego położony jest w granicy Specjalnego Obszaru Ochrony Siedlisk Natura 2000 „Podziemia Tarnogórsko-Bytomskie”, dla którego ustalono realizację zabudowy i zagospodarowania terenów, w tym lokalizowania inwestycji i przedsięwzięć – zgodnie z plan</w:t>
      </w:r>
      <w:r>
        <w:rPr>
          <w:rFonts w:eastAsia="Times New Roman" w:cs="Times New Roman"/>
          <w:szCs w:val="20"/>
        </w:rPr>
        <w:t>em zadań ochronnych wydanym zarządzeniem Regionalnego Dyrektora Ochrony Środowiska w Katowicach z dnia 24 kwietnia 2014 r. w sprawie ustanowienia planu zadań ochronnych dla obszaru Natura 2000 Podziemia Tarnogórsko-Bytomskie PLH240003, zmienionym zarządzen</w:t>
      </w:r>
      <w:r>
        <w:rPr>
          <w:rFonts w:eastAsia="Times New Roman" w:cs="Times New Roman"/>
          <w:szCs w:val="20"/>
        </w:rPr>
        <w:t>iem Regionalnego Dyrektora Ochrony Środowiska w Katowicach z dnia 18 maja 2015 r. o zmianie zarządzenia w sprawie ustanowienia planu zadań ochronnych dla obszaru Natura 2000 Podziemia Tarnogórsko-Bytomskie PLH240003 oraz zarządzeniem Regionalnego Dyrektora</w:t>
      </w:r>
      <w:r>
        <w:rPr>
          <w:rFonts w:eastAsia="Times New Roman" w:cs="Times New Roman"/>
          <w:szCs w:val="20"/>
        </w:rPr>
        <w:t xml:space="preserve"> Ochrony Środowiska w Katowicach z dnia 20 lipca 2023 r. o zmianie zarządzenia w sprawie ustanowienia planu zadań ochronnych dla obszaru Natura 2000 Podziemia Tarnogórsko-Bytomskie PLH240003.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miejscowego nie obejmuje gruntów roln</w:t>
      </w:r>
      <w:r>
        <w:rPr>
          <w:rFonts w:eastAsia="Times New Roman" w:cs="Times New Roman"/>
          <w:szCs w:val="20"/>
        </w:rPr>
        <w:t>ych oraz leśnych podlegających ochronie, w związku z czym nie jest wymagane ustalenie zasad ich ochrony.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nie występują również udokumentowane złoża kopalin.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4. Wymagania ochrony dziedzictwa kulturowego i zabytków oraz dóbr kultury współcz</w:t>
      </w:r>
      <w:r>
        <w:rPr>
          <w:rFonts w:eastAsia="Times New Roman" w:cs="Times New Roman"/>
          <w:szCs w:val="20"/>
        </w:rPr>
        <w:t>esnej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nie ustala się zasad ochrony dziedzictwa kulturowego i zabytków, w tym krajobrazów kulturowych oraz dóbr kultury współczesnej.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</w:t>
      </w:r>
      <w:r>
        <w:rPr>
          <w:rFonts w:eastAsia="Times New Roman" w:cs="Times New Roman"/>
          <w:szCs w:val="20"/>
        </w:rPr>
        <w:t>trzebami, o których mowa w ustawie z dnia 19 lipca 2019 r. o zapewnianiu dostępności osobom ze szczególnymi potrzebami (Dz. U. z 2024 r. poz. 1411, z późn. zm.)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</w:t>
      </w:r>
      <w:r>
        <w:rPr>
          <w:rFonts w:eastAsia="Times New Roman" w:cs="Times New Roman"/>
          <w:szCs w:val="20"/>
        </w:rPr>
        <w:t xml:space="preserve"> ludzi i mienia, a także potrzeby osób ze szczególnymi potrzebami. Zapisy mające na celu ochronę zdrowia oraz bezpieczeństwa ludzi i mienia zawarto m. in. w ustaleniach dotyczących ochrony akustycznej, ochrony przed promieniowaniem elektromagnetycznym, och</w:t>
      </w:r>
      <w:r>
        <w:rPr>
          <w:rFonts w:eastAsia="Times New Roman" w:cs="Times New Roman"/>
          <w:szCs w:val="20"/>
        </w:rPr>
        <w:t>rony powietrza, ochrony powierzchni ziemi oraz postępowania z odpadami. Projekt planu określa również liczbę miejsc do parkowania dla pojazdów zaopatrzonych w kartę parkingową.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potwierdzenia bezpieczeństwa posadowienia obiektów wskazane jest każdoraz</w:t>
      </w:r>
      <w:r>
        <w:rPr>
          <w:rFonts w:eastAsia="Times New Roman" w:cs="Times New Roman"/>
          <w:szCs w:val="20"/>
        </w:rPr>
        <w:t>owo na etapie uzyskiwania pozwolenia na budowę budynków mieszkalnych przeprowadzenie uszczegółowionych badań podłoża gruntowego, w szczególności w zakresie rozpoznania warunków geologiczno-górniczych (w tym ewentualnego występowania wyrobisk poeksploatacyj</w:t>
      </w:r>
      <w:r>
        <w:rPr>
          <w:rFonts w:eastAsia="Times New Roman" w:cs="Times New Roman"/>
          <w:szCs w:val="20"/>
        </w:rPr>
        <w:t>nych).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poprzez ustalenie przeznaczenia terenu oraz optymalnych wskaźników zagospodarowania terenu i kształtowania zabudowy, zgodnie z kierunkami określonymi w „Studium uwarunkowań i kierunków </w:t>
      </w:r>
      <w:r>
        <w:rPr>
          <w:rFonts w:eastAsia="Times New Roman" w:cs="Times New Roman"/>
          <w:szCs w:val="20"/>
        </w:rPr>
        <w:t>zagospodarowania przestrzennego Gminy Bytom”, uwzględnia walory ekonomiczne przestrzeni.</w:t>
      </w:r>
      <w:r>
        <w:rPr>
          <w:rFonts w:eastAsia="Times New Roman" w:cs="Times New Roman"/>
          <w:szCs w:val="20"/>
        </w:rPr>
        <w:br/>
        <w:t>W projekcie planu, dla  terenu położonego w jego granicach, określono stawkę procentową służącą naliczaniu opłaty z tytułu wzrostu wartości nieruchomości w wysokości 3</w:t>
      </w:r>
      <w:r>
        <w:rPr>
          <w:rFonts w:eastAsia="Times New Roman" w:cs="Times New Roman"/>
          <w:szCs w:val="20"/>
        </w:rPr>
        <w:t>0%.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Ustalenia projektu planu oraz przeznaczenia poszczególnych terenów wydzielonych liniami rozgraniczającymi uwzględniają poszanowanie prawa własności, jednak np. z uwagi na potrzebę dostosowywania istniejących dróg publicznych do </w:t>
      </w:r>
      <w:r>
        <w:rPr>
          <w:rFonts w:eastAsia="Times New Roman" w:cs="Times New Roman"/>
          <w:szCs w:val="20"/>
        </w:rPr>
        <w:t>odpowiednich parametrów, może zajść konieczność pozyskania części nieruchomości niebędących własnością Gminy Bytom.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Obszar planu położony jest poza strefami ochronnymi oraz obszarem ograniczonego użytkowania </w:t>
      </w:r>
      <w:r>
        <w:rPr>
          <w:rFonts w:eastAsia="Times New Roman" w:cs="Times New Roman"/>
          <w:szCs w:val="20"/>
        </w:rPr>
        <w:t>wyznaczonym dla obiektów wojskowych i nie jest terenem zamkniętym. Nie występują na nim tereny ani obiekty służące obronności i bezpieczeństwu państwa. W toku procedury planistycznej stosowne organy wojskowe, ochrony granic i bezpieczeństwa państwa zostały</w:t>
      </w:r>
      <w:r>
        <w:rPr>
          <w:rFonts w:eastAsia="Times New Roman" w:cs="Times New Roman"/>
          <w:szCs w:val="20"/>
        </w:rPr>
        <w:t xml:space="preserve"> zawiadomione o przystąpieniu do sporządzenia przedmiotowego planu, a przedstawiony im projekt planu uzgodniły pozytywnie.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9. Potrzeby interesu publicznego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</w:t>
      </w:r>
      <w:r>
        <w:rPr>
          <w:rFonts w:eastAsia="Times New Roman" w:cs="Times New Roman"/>
          <w:szCs w:val="20"/>
        </w:rPr>
        <w:t>przez realizację inwestycji celu publicznego, takich jak np. budowa niezbędnej infrastruktury technicznej.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</w:t>
      </w:r>
      <w:r>
        <w:rPr>
          <w:rFonts w:eastAsia="Times New Roman" w:cs="Times New Roman"/>
          <w:szCs w:val="20"/>
        </w:rPr>
        <w:t>ące zasad modernizacji, rozbudowy i budowy systemów infrastruktury technicznej.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Zapewnienie udziału </w:t>
      </w:r>
      <w:r>
        <w:rPr>
          <w:rFonts w:eastAsia="Times New Roman" w:cs="Times New Roman"/>
          <w:szCs w:val="20"/>
        </w:rPr>
        <w:t>społeczeństwa w pracach nad miejscowym planem zagospodarowania przestrzennego, w tym przy użyciu środków komunikacji elektronicznej, zostało zrealizowane poprzez: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</w:t>
      </w:r>
      <w:r>
        <w:rPr>
          <w:rFonts w:eastAsia="Times New Roman" w:cs="Times New Roman"/>
          <w:szCs w:val="20"/>
        </w:rPr>
        <w:t>ji Publicznej i obwieszczenia na tablicy ogłoszeń Urzędu Miejskiego w Bytomiu o: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VI – dla terenu położonego przy ul. Tadeu</w:t>
      </w:r>
      <w:r>
        <w:rPr>
          <w:rFonts w:eastAsia="Times New Roman" w:cs="Times New Roman"/>
          <w:szCs w:val="20"/>
        </w:rPr>
        <w:t>sza Boya-Żeleńskiego, możliwości składania wniosków i uwag oraz możliwości zapoznania się z dokumentacją sprawy,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</w:t>
      </w:r>
      <w:r>
        <w:rPr>
          <w:rFonts w:eastAsia="Times New Roman" w:cs="Times New Roman"/>
          <w:szCs w:val="20"/>
        </w:rPr>
        <w:t>p VI – dla terenu położonego przy ul. Tadeusza Boya-Żeleńskiego wraz z prognozą oddziaływania na środowisko, możliwości składania wniosków i uwag, możliwości zapoznania się z niezbędną dokumentacją sprawy oraz o udostępnieniu projektu planu do wglądu w for</w:t>
      </w:r>
      <w:r>
        <w:rPr>
          <w:rFonts w:eastAsia="Times New Roman" w:cs="Times New Roman"/>
          <w:szCs w:val="20"/>
        </w:rPr>
        <w:t>mie elektronicznej;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2) przeprowadzenie w dniach od 6 maja 2026 r. do 3 czerwca 2026 r. wyłożenia do publicznego wglądu projektu miejscowego planu zagospodarowania przestrzennego zagospodarowania przestrzennego Gminy Bytom – etap VI – dla terenu położonego </w:t>
      </w:r>
      <w:r>
        <w:rPr>
          <w:rFonts w:eastAsia="Times New Roman" w:cs="Times New Roman"/>
          <w:szCs w:val="20"/>
        </w:rPr>
        <w:t>przy ul. Tadeusza Boya-Żeleńskiego wraz z prognozą oddziaływania na środowisko i zorganizowanie w dniu 18 maja 2026 r. dyskusji publicznej nad przyjętymi w projekcie planu rozwiązaniami;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</w:t>
      </w:r>
      <w:r>
        <w:rPr>
          <w:rFonts w:eastAsia="Times New Roman" w:cs="Times New Roman"/>
          <w:szCs w:val="20"/>
        </w:rPr>
        <w:t>arowania przestrzennego zagospodarowania przestrzennego Gminy Bytom – etap VI – dla terenu położonego przy ul. Tadeusza Boya-Żeleńskiego w terminie od 3 czerwca 2026 r. do 17 czerwca 2026 r.</w:t>
      </w:r>
    </w:p>
    <w:p w:rsidR="009D38FE" w:rsidRDefault="00285C11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</w:t>
      </w:r>
      <w:r>
        <w:rPr>
          <w:rFonts w:eastAsia="Times New Roman" w:cs="Times New Roman"/>
          <w:szCs w:val="20"/>
        </w:rPr>
        <w:t xml:space="preserve">rt. 21, art. 39 i art. 54 ustawy z dnia 3 października 2008 r. o udostępnieniu </w:t>
      </w:r>
      <w:r>
        <w:rPr>
          <w:rFonts w:eastAsia="Times New Roman" w:cs="Times New Roman"/>
          <w:szCs w:val="20"/>
        </w:rPr>
        <w:lastRenderedPageBreak/>
        <w:t>informacji o środowisku i jego ochronie, udziale społeczeństwa w ochronie środowiska oraz o ocenach oddziaływania na środowisko.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</w:t>
      </w:r>
      <w:r>
        <w:rPr>
          <w:rFonts w:eastAsia="Times New Roman" w:cs="Times New Roman"/>
          <w:szCs w:val="20"/>
        </w:rPr>
        <w:t>akości wody, do celów zaopatrzenia ludności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</w:t>
      </w:r>
      <w:r>
        <w:rPr>
          <w:rFonts w:eastAsia="Times New Roman" w:cs="Times New Roman"/>
          <w:szCs w:val="20"/>
        </w:rPr>
        <w:t>enu.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</w:t>
      </w:r>
      <w:r>
        <w:rPr>
          <w:rFonts w:eastAsia="Times New Roman" w:cs="Times New Roman"/>
          <w:szCs w:val="20"/>
        </w:rPr>
        <w:t>agospodarowania i korzystania z terenu, Prezydent Miasta wziął pod uwagę interes publiczny i interesy prywatne oraz ustosunkował się do zgłoszonych wniosków i uwag.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</w:t>
      </w:r>
      <w:r>
        <w:rPr>
          <w:rFonts w:eastAsia="Times New Roman" w:cs="Times New Roman"/>
          <w:szCs w:val="20"/>
        </w:rPr>
        <w:t xml:space="preserve"> walorów ekonomicznych przestrzeni, w przypadku sytuowania nowej zabudowy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sporządzanego miej</w:t>
      </w:r>
      <w:r>
        <w:rPr>
          <w:rFonts w:eastAsia="Times New Roman" w:cs="Times New Roman"/>
          <w:szCs w:val="20"/>
        </w:rPr>
        <w:t>scowego planu zagospodarowania przestrzennego Gminy Bytom – etap VI – dla terenu położonego przy ul. Tadeusza Boya-Żeleńskiego jest korekta przebiegu wyznaczonego w planie ciągu pieszo-jezdnego, jak również przeznaczenie fragmentu terenu oznaczonego w obow</w:t>
      </w:r>
      <w:r>
        <w:rPr>
          <w:rFonts w:eastAsia="Times New Roman" w:cs="Times New Roman"/>
          <w:szCs w:val="20"/>
        </w:rPr>
        <w:t>iązującym obecnie planie symbolem 6ZP pod zabudowę mieszkaniową jednorodzinną.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fragmentu przebiegu ciągu pieszo-jezdnego jest konieczna z uwagi na obecne ukształtowanie terenu oraz istniejącą groblę – z obawy przed zalewaniem sąsiednich działek. Prz</w:t>
      </w:r>
      <w:r>
        <w:rPr>
          <w:rFonts w:eastAsia="Times New Roman" w:cs="Times New Roman"/>
          <w:szCs w:val="20"/>
        </w:rPr>
        <w:t>eznaczenie części nieruchomości pod zabudowę mieszkaniową jednorodzinną umożliwi z kolei realizację budynków jednorodzinnych na tym terenie, co będzie stanowiło kontynuację zabudowy istniejącej na terenach przyległych.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Dla przedmiotowego terenu została </w:t>
      </w:r>
      <w:r>
        <w:rPr>
          <w:rFonts w:eastAsia="Times New Roman" w:cs="Times New Roman"/>
          <w:szCs w:val="20"/>
        </w:rPr>
        <w:t>sporządzona przez Firmę GeoEkoBud Sp. z o. o. z siedzibą w Siemianowicach Śląskich przy ul. Władysława Reymonta 4/7 „Dokumentacja geologiczno-inżynierska określająca warunki geologiczno-inżynierskie na potrzeby zmiany zagospodarowania przestrzennego fragme</w:t>
      </w:r>
      <w:r>
        <w:rPr>
          <w:rFonts w:eastAsia="Times New Roman" w:cs="Times New Roman"/>
          <w:szCs w:val="20"/>
        </w:rPr>
        <w:t>ntu działki o numerze ewid. 661/3 położonej w Bytomiu – Stolarzowice przy ul. Boya-Żeleńskiego”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. </w:t>
      </w:r>
      <w:r>
        <w:rPr>
          <w:rFonts w:eastAsia="Times New Roman" w:cs="Times New Roman"/>
          <w:color w:val="000000"/>
          <w:szCs w:val="20"/>
          <w:u w:color="000000"/>
        </w:rPr>
        <w:t xml:space="preserve">Dokumentacja ta została zatwierdzona decyzją Prezydenta Bytomia nr ASE.6541.1.2025 z dnia 12 marca 2025 r.    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celu utrzymania charakteru zabudowy sąsiedniej</w:t>
      </w:r>
      <w:r>
        <w:rPr>
          <w:rFonts w:eastAsia="Times New Roman" w:cs="Times New Roman"/>
          <w:color w:val="000000"/>
          <w:szCs w:val="20"/>
          <w:u w:color="000000"/>
        </w:rPr>
        <w:t>, ustalenia sporządzanego planu uwzględniały będą parametry zabudowy istniejącej na przyległych terenach poprzez zapewnienie rozwiązań przestrzennych umożliwiających realizację elementów zagospodarowania takich jak: infrastruktura techniczna, urządzenia bu</w:t>
      </w:r>
      <w:r>
        <w:rPr>
          <w:rFonts w:eastAsia="Times New Roman" w:cs="Times New Roman"/>
          <w:color w:val="000000"/>
          <w:szCs w:val="20"/>
          <w:u w:color="000000"/>
        </w:rPr>
        <w:t>dowlane, urządzenia rekreacyjne, dojazdy, ciągi piesze, pieszo-jezdne i ścieżki rowerowe, zieleń urządzona, obiekty małej architektury, elementy Systemu Identyfikacji Miejskiej oraz elementy wyposażenia miejskiego.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Ponadto, nowa zabudowa dopuszczona ustale</w:t>
      </w:r>
      <w:r>
        <w:rPr>
          <w:rFonts w:eastAsia="Times New Roman" w:cs="Times New Roman"/>
          <w:color w:val="000000"/>
          <w:szCs w:val="20"/>
          <w:u w:color="000000"/>
        </w:rPr>
        <w:t>niami planu, zgodnie z kierunkami określonymi w „Studium uwarunkowań i kierunków zagospodarowania przestrzennego Gminy Bytom”, przyczyni się do bardziej efektywnego wykorzystania terenów.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II. Zgodność z wynikami analizy, o której mowa w art. 32 ust. 1 usta</w:t>
      </w:r>
      <w:r>
        <w:rPr>
          <w:rFonts w:eastAsia="Times New Roman" w:cs="Times New Roman"/>
          <w:color w:val="000000"/>
          <w:szCs w:val="20"/>
          <w:u w:color="000000"/>
        </w:rPr>
        <w:t>wy o planowaniu i zagospodarowaniu przestrzennym wraz z datą uchwały rady gminy, o której mowa w art. 32 ust. 2 ww. ustawy oraz sposób uwzględnienia uniwersalnego projektowania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Sporządzony projekt planu nie wykazuje niezgodności z wynikami „Analizy zmian w</w:t>
      </w:r>
      <w:r>
        <w:rPr>
          <w:rFonts w:eastAsia="Times New Roman" w:cs="Times New Roman"/>
          <w:color w:val="000000"/>
          <w:szCs w:val="20"/>
          <w:u w:color="000000"/>
        </w:rPr>
        <w:t> zagospodarowaniu przestrzennym Gminy Bytom w latach 2018-2023”, przyjętej uchwałą nr XCI/1142/24 Rady Miejskiej w Bytomiu z dnia 15 marca 2024 r. W ww. analizie wskazano bowiem zarówno na potrzebę sporządzenia miejscowych planów zagospodarowania przestrze</w:t>
      </w:r>
      <w:r>
        <w:rPr>
          <w:rFonts w:eastAsia="Times New Roman" w:cs="Times New Roman"/>
          <w:color w:val="000000"/>
          <w:szCs w:val="20"/>
          <w:u w:color="000000"/>
        </w:rPr>
        <w:t>nnego dla terenów nieobjętych planami miejscowymi jak i na zasadność kontynuacji prac nad aktualizacją obowiązujących miejscowych planów zagospodarowania przestrzennego, z uwzględnieniem zachodzących zmian w zagospodarowaniu przestrzennym oraz aktualnych w</w:t>
      </w:r>
      <w:r>
        <w:rPr>
          <w:rFonts w:eastAsia="Times New Roman" w:cs="Times New Roman"/>
          <w:color w:val="000000"/>
          <w:szCs w:val="20"/>
          <w:u w:color="000000"/>
        </w:rPr>
        <w:t>ymogów prawnych, a także obecnych potrzeb rozwoju przestrzennego miasta.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Projekt planu uwzględnia także uniwersalne projektowanie, w tym m. in. określenie liczby miejsc do parkowania dla pojazdów zaopatrzonych w kartę parkingową.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III. Wpływ na finanse publ</w:t>
      </w:r>
      <w:r>
        <w:rPr>
          <w:rFonts w:eastAsia="Times New Roman" w:cs="Times New Roman"/>
          <w:color w:val="000000"/>
          <w:szCs w:val="20"/>
          <w:u w:color="000000"/>
        </w:rPr>
        <w:t>iczne, w tym budżet gminy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wyniku sporządzenia prognozy skutków finansowych uchwalenia przedmiotowego miejscowego planu zagospodarowania przestrzennego stwierdzono, że wskaźnik ekonomiczny inwestycji, jaką jest uchwalenie miejscowego planu zagospodarowani</w:t>
      </w:r>
      <w:r>
        <w:rPr>
          <w:rFonts w:eastAsia="Times New Roman" w:cs="Times New Roman"/>
          <w:color w:val="000000"/>
          <w:szCs w:val="20"/>
          <w:u w:color="000000"/>
        </w:rPr>
        <w:t>a przestrzennego zagospodarowania przestrzennego Gminy Bytom – etap VI – dla terenu położonego przy ul. Tadeusza Boya-Żeleńskiego, jest dodatni.</w:t>
      </w:r>
    </w:p>
    <w:p w:rsidR="009D38FE" w:rsidRDefault="00285C1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Zmiana przeznaczenia terenów przyniesie skutek w postaci dochodu gminy z tytułu pobrania opłaty planistycznej i</w:t>
      </w:r>
      <w:r>
        <w:rPr>
          <w:rFonts w:eastAsia="Times New Roman" w:cs="Times New Roman"/>
          <w:color w:val="000000"/>
          <w:szCs w:val="20"/>
          <w:u w:color="000000"/>
        </w:rPr>
        <w:t> opłaty adiacenckiej wynikających ze wzrostu wartości nieruchomości.</w:t>
      </w:r>
    </w:p>
    <w:sectPr w:rsidR="009D38FE" w:rsidSect="009D38FE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8FE" w:rsidRDefault="009D38FE" w:rsidP="009D38FE">
      <w:r>
        <w:separator/>
      </w:r>
    </w:p>
  </w:endnote>
  <w:endnote w:type="continuationSeparator" w:id="0">
    <w:p w:rsidR="009D38FE" w:rsidRDefault="009D38FE" w:rsidP="009D3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>Id: 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>Id: 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>Id: 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>Id: 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8F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rPr>
              <w:sz w:val="18"/>
            </w:rPr>
          </w:pPr>
          <w:r>
            <w:rPr>
              <w:sz w:val="18"/>
            </w:rPr>
            <w:t>Id: 6A41D8F7-C3C1-417C-9AA5-E42FFCC70F49.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D38FE" w:rsidRDefault="00285C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8F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22</w:t>
          </w:r>
          <w:r w:rsidR="009D38FE">
            <w:rPr>
              <w:sz w:val="18"/>
            </w:rPr>
            <w:fldChar w:fldCharType="end"/>
          </w:r>
        </w:p>
      </w:tc>
    </w:tr>
  </w:tbl>
  <w:p w:rsidR="009D38FE" w:rsidRDefault="009D38F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8FE" w:rsidRDefault="009D38FE" w:rsidP="009D38FE">
      <w:r>
        <w:separator/>
      </w:r>
    </w:p>
  </w:footnote>
  <w:footnote w:type="continuationSeparator" w:id="0">
    <w:p w:rsidR="009D38FE" w:rsidRDefault="009D38FE" w:rsidP="009D38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5C11"/>
    <w:rsid w:val="009D38FE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8F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g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6272</Words>
  <Characters>41570</Characters>
  <Application>Microsoft Office Word</Application>
  <DocSecurity>0</DocSecurity>
  <Lines>346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Gminy Bytom – etap VI – dla terenu położonego przy ul. Tadeusza Boya-Żeleńskiego</dc:subject>
  <dc:creator>bdobrowolska</dc:creator>
  <cp:lastModifiedBy>asteuer</cp:lastModifiedBy>
  <cp:revision>2</cp:revision>
  <dcterms:created xsi:type="dcterms:W3CDTF">2026-06-11T08:55:00Z</dcterms:created>
  <dcterms:modified xsi:type="dcterms:W3CDTF">2026-06-11T08:55:00Z</dcterms:modified>
  <cp:category>Akt prawny</cp:category>
</cp:coreProperties>
</file>