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XXXI/276/26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kwietnia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pobyt w izbie wytrzeźwień, funkcjonującej w strukturze Centrum Przeciwdziałania Uzależnieniom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1153,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2151,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obwieszczeniem Ministra Zdrowia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maksymalnej wysokości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placówce lub jednostce Policji, po waloryzacji (M. P.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167),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ogłaszaniu aktów normatywnych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niektórych innych aktów prawnych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 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wysokość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funkcjonującej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strukturze Centrum Przeciwdziałania Uzależnieniom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przy ul. Tarnogórskiej 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469,90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XVII/152/25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funkcjonującej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strukturze Centrum Przeciwdziałania Uzależnieniom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3613).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przeciwdziałaniu alkoholizmowi (Dz. U. z 2023 r. poz. 2151, z późn. zm.), za pobyt w izbie wytrzeźwień pobiera się opłaty, których wysokość określa, zgodne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pkt 1 ww. ustawy, organ stanowiący jednostki samorządu terytorialnego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 sporządzonej przez Centrum Przeciwdziałania Uzależnieniom w Bytomiu, uwzględniającej koszty bezpośrednie i pośrednie oraz planowaną liczbę pacjentów, koszt pobytu w izbie wytrzeźwień w 2026 r. wynosi 946,19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Maksymalna wysokość opłaty za pobyt w izbie wytrzeźwień, placówce lub jednostce Policji, po waloryzacji, ogłoszona przez Ministra Zdrowia, wynosi 469,90 zł i na takim poziomie ustalona zostaje opłata za pobyt w izbie wytrzeźwień, funkcjonującej w strukturze Centrum Przeciwdziałania Uzależnieniom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2014 r. w sprawie określenia szczegółowego sposobu konsultowania z radą działalności pożytku publicznego oraz organizacjami pozarządowymi i podmiotami wymienionymi w art. 3 ust. 3 ustawy o działalności pożytku publicznego i o wolontariacie projektów aktów prawa miejscowego w dziedzinach dotyczących działalności statutowej tych organizacji, z późn. zm., przedmiotowy projekt uchwały Rady Miejskiej w Bytomiu w sprawie ustalenia wysokości opłaty za pobyt w izbie wytrzeźwień, funkcjonującej w strukturze Centrum Przeciwdziałania Uzależnieniom w Bytomiu,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61234373-6616-4EA7-8A7A-DEF151CA59E9.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61234373-6616-4EA7-8A7A-DEF151CA59E9.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XXXI/276/26 z dnia 27 kwietnia 2026 r.</dc:title>
  <dc:subject>w sprawie ustalenia wysokości opłaty za pobyt w^izbie wytrzeźwień, funkcjonującej w^strukturze Centrum Przeciwdziałania Uzależnieniom w^Bytomiu</dc:subject>
  <dc:creator>asteuer</dc:creator>
  <cp:lastModifiedBy>asteuer</cp:lastModifiedBy>
  <cp:revision>1</cp:revision>
  <dcterms:created xsi:type="dcterms:W3CDTF">2026-04-28T09:54:32Z</dcterms:created>
  <dcterms:modified xsi:type="dcterms:W3CDTF">2026-04-28T09:54:32Z</dcterms:modified>
  <cp:category>Akt prawny</cp:category>
</cp:coreProperties>
</file>