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505C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505C8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6505C8">
      <w:pPr>
        <w:keepNext/>
        <w:spacing w:after="480" w:line="276" w:lineRule="auto"/>
        <w:jc w:val="center"/>
      </w:pPr>
      <w:r>
        <w:rPr>
          <w:b/>
        </w:rPr>
        <w:t xml:space="preserve">w sprawie poparcia działań zmierzających do zrzeczenia się przez Prezydenta Bytomia w całości odszkodowania za nieruchomość gminną, która stała się własnością </w:t>
      </w:r>
      <w:r>
        <w:rPr>
          <w:b/>
        </w:rPr>
        <w:t xml:space="preserve">Skarbu Państwa z przeznaczeniem na realizację inwestycji drogowej pn.: „Rozbudowa układu drogowego ul. Żołnierskiej, ul. Tadeusza Kościuszki i ul. Jana Gutenberga w celu skomunikowania obiektu handlowo-usługowego przy ul. Żołnierskiej w Bytomiu położonego </w:t>
      </w:r>
      <w:r>
        <w:rPr>
          <w:b/>
        </w:rPr>
        <w:t>na działkach 1283/200, 1285/200, 1287/200, 1848/200, 1849/200 (obręb 0008 Górniki)”</w:t>
      </w:r>
    </w:p>
    <w:p w:rsidR="00A77B3E" w:rsidRDefault="006505C8">
      <w:pPr>
        <w:keepLines/>
        <w:spacing w:before="120" w:after="120" w:line="276" w:lineRule="auto"/>
        <w:ind w:firstLine="227"/>
      </w:pPr>
      <w:r>
        <w:t>Na podstawie art. 18 ust. 1 ustawy z dnia 8 marca 1990 r. o samorządzie gminnym (Dz. U. 2025 r. poz. 1153,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6505C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Popiera się działani</w:t>
      </w:r>
      <w:r>
        <w:t xml:space="preserve">a Prezydenta Bytomia zmierzające do zrealizowania uprawnień wynikających z art. 12 ust. 7 ustawy z dnia 10 kwietnia 2003 r. o szczególnych zasadach przygotowania i realizacji inwestycji w zakresie dróg publicznych (Dz. U. z 2024 r. poz. 311), polegających </w:t>
      </w:r>
      <w:r>
        <w:t xml:space="preserve">na zrzeczeniu się w całości odszkodowania należnego gminie Bytom od Skarbu Państwa z tytułu przejęcia do zasobu nieruchomości Skarbu Państwa, na podstawie decyzji Prezydenta Bytomia z dnia 28 kwietnia 2022 r. nr 113/2022 (AAB.6740.40.2022) o zezwoleniu na </w:t>
      </w:r>
      <w:r>
        <w:t>realizację inwestycji drogowej pn.: „Rozbudowa układu drogowego ul. Żołnierskiej, ul. Tadeusza Kościuszki i ul. Jana Gutenberga w celu skomunikowania obiektu handlowo-usługowego przy ul. Żołnierskiej w Bytomiu położonego na działkach 1283/200, 1285/200, 12</w:t>
      </w:r>
      <w:r>
        <w:t>87/200, 1848/200, 1849/200 (obręb 0008 Górniki)”, za prawo własności działki gruntu nr 1864/208 o powierzchni 0,0011 ha (obręb Górniki, k. m. 6).</w:t>
      </w:r>
    </w:p>
    <w:p w:rsidR="00A77B3E" w:rsidRDefault="006505C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6505C8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205DB3" w:rsidRDefault="00205DB3">
      <w:pPr>
        <w:rPr>
          <w:rFonts w:eastAsia="Times New Roman" w:cs="Times New Roman"/>
          <w:szCs w:val="20"/>
        </w:rPr>
      </w:pPr>
    </w:p>
    <w:p w:rsidR="00205DB3" w:rsidRDefault="006505C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05DB3" w:rsidRDefault="006505C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decyzją Prezydenta Bytomia z dnia 28 kwietnia 2022 r. nr 113/2022 (AAB.6740.40.2022) </w:t>
      </w:r>
      <w:r>
        <w:rPr>
          <w:rFonts w:eastAsia="Times New Roman" w:cs="Times New Roman"/>
          <w:szCs w:val="20"/>
        </w:rPr>
        <w:t>o zezwoleniu na realizację inwestycji drogowej pn.: „Rozbudowa układu drogowego ul. Żołnierskiej, ul. Tadeusza Kościuszki i ul. Jana Gutenberga w celu skomunikowania obiektu handlowo-usługowego przy ul. Żołnierskiej w Bytomiu położonego na działkach 1283/2</w:t>
      </w:r>
      <w:r>
        <w:rPr>
          <w:rFonts w:eastAsia="Times New Roman" w:cs="Times New Roman"/>
          <w:szCs w:val="20"/>
        </w:rPr>
        <w:t xml:space="preserve">00, 1285/200, 1287/200, 1848/200, 1849/200 (obręb 0008 Górniki)”, gminie Bytom należy się odszkodowanie. Jest ono należne, gdyż na podstawie wymienionej decyzji prawo własności nieruchomości należącej do gminy, a przeznaczonej pod budowę dróg, przenoszone </w:t>
      </w:r>
      <w:r>
        <w:rPr>
          <w:rFonts w:eastAsia="Times New Roman" w:cs="Times New Roman"/>
          <w:szCs w:val="20"/>
        </w:rPr>
        <w:t>jest z gminy na rzecz Skarbu Państwa w formie wywłaszczenia.</w:t>
      </w:r>
    </w:p>
    <w:p w:rsidR="00205DB3" w:rsidRDefault="006505C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sytuacji, gdy wywłaszczona nieruchomość przeznaczona jest pod budowę krajowej drogi publicznej, jej zarządcą z mocy prawa staje się prezydent. W takim przypadku, to również prezydent zobowiązan</w:t>
      </w:r>
      <w:r>
        <w:rPr>
          <w:rFonts w:eastAsia="Times New Roman" w:cs="Times New Roman"/>
          <w:szCs w:val="20"/>
        </w:rPr>
        <w:t>y jest do wypłaty odszkodowania gminie reprezentowanej przez tego prezydenta miasta. Jego obowiązkiem jest również zapłata podatku VAT (od towarów i usług) na rzecz Skarbu Państwa. W istocie gmina ponosi ciężar zapłaty podatku nie uzyskując dochodów za wyw</w:t>
      </w:r>
      <w:r>
        <w:rPr>
          <w:rFonts w:eastAsia="Times New Roman" w:cs="Times New Roman"/>
          <w:szCs w:val="20"/>
        </w:rPr>
        <w:t>łaszczoną nieruchomość. Dlatego powołując się na art. 12 ust. 7 ustawy o szczególnych zasadach przygotowania i realizacji inwestycji w zakresie dróg publicznych, zgodnie z którym istnieje możliwość zrzeczenia się w całości lub części odszkodowania za nieru</w:t>
      </w:r>
      <w:r>
        <w:rPr>
          <w:rFonts w:eastAsia="Times New Roman" w:cs="Times New Roman"/>
          <w:szCs w:val="20"/>
        </w:rPr>
        <w:t>chomości, które z mocy prawa stały się własnością m.in. Skarbu Państwa, jeżeli przemawia za tym interes społeczny lub gospodarczy, postanawia się skorzystać z uprawnienia wynikającego z tego przepisu. W przedmiotowym przypadku, za zrzeczeniem się odszkodow</w:t>
      </w:r>
      <w:r>
        <w:rPr>
          <w:rFonts w:eastAsia="Times New Roman" w:cs="Times New Roman"/>
          <w:szCs w:val="20"/>
        </w:rPr>
        <w:t xml:space="preserve">ania przemawia interes publiczny oraz gospodarczy tj. dbałość o finanse jednostki samorządu terytorialnego, bowiem brak zrzeczenia się odszkodowania powodować będzie szkodę majątkową po stronie gminy Bytom. Stosowne oświadczenie złoży Prezydent, natomiast </w:t>
      </w:r>
      <w:r>
        <w:rPr>
          <w:rFonts w:eastAsia="Times New Roman" w:cs="Times New Roman"/>
          <w:szCs w:val="20"/>
        </w:rPr>
        <w:t>niniejszą uchwałą Rada Miejska popiera działania zmierzające do dokonania takiej czynności.</w:t>
      </w:r>
    </w:p>
    <w:sectPr w:rsidR="00205DB3" w:rsidSect="00205DB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DB3" w:rsidRDefault="00205DB3" w:rsidP="00205DB3">
      <w:r>
        <w:separator/>
      </w:r>
    </w:p>
  </w:endnote>
  <w:endnote w:type="continuationSeparator" w:id="0">
    <w:p w:rsidR="00205DB3" w:rsidRDefault="00205DB3" w:rsidP="00205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05DB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05DB3" w:rsidRDefault="006505C8">
          <w:pPr>
            <w:rPr>
              <w:sz w:val="18"/>
            </w:rPr>
          </w:pPr>
          <w:r>
            <w:rPr>
              <w:sz w:val="18"/>
            </w:rPr>
            <w:t>Id: 468428AA-B3D2-4A45-915C-A0C88812090D.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05DB3" w:rsidRDefault="006505C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05DB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05DB3">
            <w:rPr>
              <w:sz w:val="18"/>
            </w:rPr>
            <w:fldChar w:fldCharType="end"/>
          </w:r>
        </w:p>
      </w:tc>
    </w:tr>
  </w:tbl>
  <w:p w:rsidR="00205DB3" w:rsidRDefault="00205DB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05DB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05DB3" w:rsidRDefault="006505C8">
          <w:pPr>
            <w:rPr>
              <w:sz w:val="18"/>
            </w:rPr>
          </w:pPr>
          <w:r>
            <w:rPr>
              <w:sz w:val="18"/>
            </w:rPr>
            <w:t>Id: 468428AA-B3D2-4A45-915C-A0C88812090D.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05DB3" w:rsidRDefault="006505C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05DB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05DB3">
            <w:rPr>
              <w:sz w:val="18"/>
            </w:rPr>
            <w:fldChar w:fldCharType="end"/>
          </w:r>
        </w:p>
      </w:tc>
    </w:tr>
  </w:tbl>
  <w:p w:rsidR="00205DB3" w:rsidRDefault="00205DB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DB3" w:rsidRDefault="00205DB3" w:rsidP="00205DB3">
      <w:r>
        <w:separator/>
      </w:r>
    </w:p>
  </w:footnote>
  <w:footnote w:type="continuationSeparator" w:id="0">
    <w:p w:rsidR="00205DB3" w:rsidRDefault="00205DB3" w:rsidP="00205D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05DB3"/>
    <w:rsid w:val="006505C8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05DB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poparcia działań zmierzających do zrzeczenia się przez Prezydenta Bytomia w^całości odszkodowania za nieruchomość gminną, która stała się własnością Skarbu Państwa z^przeznaczeniem na realizację inwestycji drogowej pn.: „Rozbudowa układu drogowego ul. Żołnierskiej, ul. Tadeusza Kościuszki i^ul. Jana Gutenberga w^celu skomunikowania obiektu handlowo-usługowego przy ul. Żołnierskiej w^Bytomiu położonego na działkach 1283/200, 1285/200, 1287/200, 1848/200, 1849/200 (obręb 0008^Górniki)”</dc:subject>
  <dc:creator>swalke</dc:creator>
  <cp:lastModifiedBy>asteuer</cp:lastModifiedBy>
  <cp:revision>2</cp:revision>
  <dcterms:created xsi:type="dcterms:W3CDTF">2026-03-13T13:50:00Z</dcterms:created>
  <dcterms:modified xsi:type="dcterms:W3CDTF">2026-03-13T13:50:00Z</dcterms:modified>
  <cp:category>Akt prawny</cp:category>
</cp:coreProperties>
</file>