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XXVII/243/26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stycznia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XVI/204/19 Rady Miejskiej w Bytomiu w sprawie obywatelskiej inicjatywy uchwałodawczej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XVI/204/19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obywatelskiej inicjatywy uchwałodawczej dokonuje się następujących zmian: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3: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dodaje się zdanie drugie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 „Załącznikiem do oświadczenia jest projekt uchwały stanowiący obywatelską inicjatywę uchwałodawczą.”,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 „Oświadczenie,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projektem uchwały stanowiącym obywatelską inicjatywę uchwałodawczą są publikowane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Biuletynie Informacji Publicznej.”;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 „organ właściwy do wykonania uchwały”;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wyrazy „Radę Miejską” zastępuje się wyrazami „Przewodniczącego Rady Miejskiej”.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Proponowana zmiana podyktowana jest koniecznością usprawnienia realizacji czynności wynikającej z § 6 ust. 3 uchwały nr XVI/204/19 Rady Miejskiej w Bytomiu w sprawie obywatelskiej inicjatywy uchwałodawczej, dotyczącej informowania komitetu inicjatywy uchwałodawczej o przekazaniu projektu inicjatywy uchwałodawczej do zaopiniowania pod względem formalnoprawnym przez radcę prawnego oraz pod względem merytorycznym przez właściwe komisje Rady Miejskiej.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Umożliwienie przewodniczącemu Rady Miejskiej prowadzenia korespondencji w powyższej sprawie przyspieszy proces rozpatrywania przez Radę Miejską przedłożonej obywatelskiej inicjatywy uchwałodawczej i pozwoli na dotrzymanie ustawowego 3-miesięcznego terminu, w jakim obywatelska inicjatywa uchwałodawcza staje się przedmiotem obrad rady gminy, zgodnie z art. 41a ust. 3 ustawy o samorządzie gminnym.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Dodano również zapis dotyczący konieczności złożenia projektu uchwały stanowiącego obywatelską inicjatywę uchwałodawczą już na etapie składania oświadczenia o powołaniu komitetu inicjatywy uchwałodawczej, jak również doprecyzowano zapisy odnoszące się do zawartości projektu obywatelskiej inicjatywy uchwałodawczej.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0BCFFED7-DBA8-4789-A7DE-BCAC58947138.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0BCFFED7-DBA8-4789-A7DE-BCAC58947138.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XXVII/243/26 z dnia 26 stycznia 2026 r.</dc:title>
  <dc:subject>zmieniająca uchwałę nr XVI/204/19 Rady Miejskiej w^Bytomiu w^sprawie obywatelskiej inicjatywy uchwałodawczej</dc:subject>
  <dc:creator>asteuer</dc:creator>
  <cp:lastModifiedBy>asteuer</cp:lastModifiedBy>
  <cp:revision>1</cp:revision>
  <dcterms:created xsi:type="dcterms:W3CDTF">2026-01-29T10:16:34Z</dcterms:created>
  <dcterms:modified xsi:type="dcterms:W3CDTF">2026-01-29T10:16:34Z</dcterms:modified>
  <cp:category>Akt prawny</cp:category>
</cp:coreProperties>
</file>