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LI/627/17 Rady Miejskiej w Bytomiu w sprawie określenia zasad i trybu umarzania, odraczania lub rozkładania na raty należności pieniężnych o charakterze cywilnoprawnym miasta Bytomia oraz jego jednostek organizacyjnych, warunków dopuszczalności pomocy publicznej, w których ulga będzie stanowić pomoc publiczną oraz wskazania organów uprawnionych do udzielenia przedmiotowych ulg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305)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LI/627/17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trybu umarzania, odraczania lub rozkładania na raty należności pieniężnych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charakterze cywilnoprawnym miasta Bytomia oraz jego jednostek organizacyjnych, warunków dopuszczalności pomocy publicznej,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ulga będzie stanowić pomoc publiczną oraz wskazania organów uprawnionych do udzielenia przedmiotowych ulg, §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"§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obowiązuje do dnia 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r.".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dostosowuje treść do aktualnie obowiązujących przepisów w związku ze zmianami wprowadzonymi przez art. 1 Rozporządzenia Komisji (UE) 2020/972 z dnia 2 lipca 2020 r. zmieniające</w:t>
      </w:r>
      <w:r>
        <w:rPr>
          <w:rFonts w:eastAsia="Times New Roman" w:cs="Times New Roman"/>
          <w:szCs w:val="20"/>
        </w:rPr>
        <w:t>go</w:t>
      </w:r>
      <w:r>
        <w:rPr>
          <w:rFonts w:eastAsia="Times New Roman" w:cs="Times New Roman"/>
          <w:szCs w:val="20"/>
        </w:rPr>
        <w:t xml:space="preserve"> rozporządzenie (UE) nr 1407/2013 w odniesieniu do jego przedłużenia oraz zmieniające</w:t>
      </w:r>
      <w:r>
        <w:rPr>
          <w:rFonts w:eastAsia="Times New Roman" w:cs="Times New Roman"/>
          <w:szCs w:val="20"/>
        </w:rPr>
        <w:t>go</w:t>
      </w:r>
      <w:r>
        <w:rPr>
          <w:rFonts w:eastAsia="Times New Roman" w:cs="Times New Roman"/>
          <w:szCs w:val="20"/>
        </w:rPr>
        <w:t xml:space="preserve"> rozporządzenie (UE) nr 651/2014 w odniesieniu do jego przedłużenia i odpowiednich dostosowań (Dz.U.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L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215</w:t>
      </w:r>
      <w:r>
        <w:rPr>
          <w:rFonts w:eastAsia="Times New Roman" w:cs="Times New Roman"/>
          <w:szCs w:val="20"/>
        </w:rPr>
        <w:t xml:space="preserve"> z </w:t>
      </w:r>
      <w:r>
        <w:rPr>
          <w:rFonts w:eastAsia="Times New Roman" w:cs="Times New Roman"/>
          <w:szCs w:val="20"/>
        </w:rPr>
        <w:t xml:space="preserve">7.07.2020), który stanowi, że w art. 8 rozporządzenia (UE) nr 1407/2013 akapit drugi otrzymuje brzmienie: „Niniejsze rozporządzenie stosuje się do dnia 31 grudnia 2023 r.”.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Treść przedmiotowej uchwały skorelowana jest </w:t>
      </w:r>
      <w:r>
        <w:rPr>
          <w:rFonts w:eastAsia="Times New Roman" w:cs="Times New Roman"/>
          <w:szCs w:val="20"/>
        </w:rPr>
        <w:t>z</w:t>
      </w:r>
      <w:r>
        <w:rPr>
          <w:rFonts w:eastAsia="Times New Roman" w:cs="Times New Roman"/>
          <w:szCs w:val="20"/>
        </w:rPr>
        <w:t xml:space="preserve"> aktualny</w:t>
      </w:r>
      <w:r>
        <w:rPr>
          <w:rFonts w:eastAsia="Times New Roman" w:cs="Times New Roman"/>
          <w:szCs w:val="20"/>
        </w:rPr>
        <w:t>mi</w:t>
      </w:r>
      <w:r>
        <w:rPr>
          <w:rFonts w:eastAsia="Times New Roman" w:cs="Times New Roman"/>
          <w:szCs w:val="20"/>
        </w:rPr>
        <w:t xml:space="preserve"> regulacj</w:t>
      </w:r>
      <w:r>
        <w:rPr>
          <w:rFonts w:eastAsia="Times New Roman" w:cs="Times New Roman"/>
          <w:szCs w:val="20"/>
        </w:rPr>
        <w:t>ami</w:t>
      </w:r>
      <w:r>
        <w:rPr>
          <w:rFonts w:eastAsia="Times New Roman" w:cs="Times New Roman"/>
          <w:szCs w:val="20"/>
        </w:rPr>
        <w:t xml:space="preserve"> prawny</w:t>
      </w:r>
      <w:r>
        <w:rPr>
          <w:rFonts w:eastAsia="Times New Roman" w:cs="Times New Roman"/>
          <w:szCs w:val="20"/>
        </w:rPr>
        <w:t>mi</w:t>
      </w:r>
      <w:r>
        <w:rPr>
          <w:rFonts w:eastAsia="Times New Roman" w:cs="Times New Roman"/>
          <w:szCs w:val="20"/>
        </w:rPr>
        <w:t xml:space="preserve"> zawart</w:t>
      </w:r>
      <w:r>
        <w:rPr>
          <w:rFonts w:eastAsia="Times New Roman" w:cs="Times New Roman"/>
          <w:szCs w:val="20"/>
        </w:rPr>
        <w:t>ymi</w:t>
      </w:r>
      <w:r>
        <w:rPr>
          <w:rFonts w:eastAsia="Times New Roman" w:cs="Times New Roman"/>
          <w:szCs w:val="20"/>
        </w:rPr>
        <w:t xml:space="preserve"> w rozporządzeni</w:t>
      </w:r>
      <w:r>
        <w:rPr>
          <w:rFonts w:eastAsia="Times New Roman" w:cs="Times New Roman"/>
          <w:szCs w:val="20"/>
        </w:rPr>
        <w:t>u</w:t>
      </w:r>
      <w:r>
        <w:rPr>
          <w:rFonts w:eastAsia="Times New Roman" w:cs="Times New Roman"/>
          <w:szCs w:val="20"/>
        </w:rPr>
        <w:t xml:space="preserve"> Komisji (UE) nr 1407/2013 z dnia 18 grudnia 2013 r. w sprawie stosowania art. 107 i 108 Traktatu o funkcjonowaniu Unii Europejskiej do pomocy de minimis (Dz.U. L 352 z 24.12.2013), którego obowiązywanie zostało przez Komisję Europejską ww. rozporządzeniem przedłużone do dnia 31 grudnia 2023 r. Natomiast art. 7 ust. 4 rozporządzenia Komisji (UE) nr 1407/2013 z dnia 18 grudnia 2013 r. stanowi, że po upływie okresu stosowania niniejszego rozporządzenia wszelkie programy pomocy de minimis spełniające warunki określone w tym rozporządzeniu pozostają objęte niniejszym rozporządzeniem przez kolejne sześć miesięcy</w:t>
      </w:r>
      <w:r>
        <w:rPr>
          <w:rFonts w:eastAsia="Times New Roman" w:cs="Times New Roman"/>
          <w:szCs w:val="20"/>
        </w:rPr>
        <w:t>.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</w:t>
      </w:r>
      <w:r>
        <w:rPr>
          <w:rFonts w:eastAsia="Times New Roman" w:cs="Times New Roman"/>
          <w:szCs w:val="20"/>
        </w:rPr>
        <w:t> związku z </w:t>
      </w:r>
      <w:r>
        <w:rPr>
          <w:rFonts w:eastAsia="Times New Roman" w:cs="Times New Roman"/>
          <w:szCs w:val="20"/>
        </w:rPr>
        <w:t>powyższym,</w:t>
      </w:r>
      <w:r>
        <w:rPr>
          <w:rFonts w:eastAsia="Times New Roman" w:cs="Times New Roman"/>
          <w:szCs w:val="20"/>
        </w:rPr>
        <w:t xml:space="preserve"> uchwała obowiązuje do dnia 30 czerwca 2024 r.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444407CE-47F5-4E52-A18F-8C4C952FE9DE.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444407CE-47F5-4E52-A18F-8C4C952FE9DE.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LI/627/17 Rady Miejskiej w^Bytomiu w^sprawie określenia zasad i^trybu umarzania, odraczania lub rozkładania na raty należności pieniężnych o^charakterze cywilnoprawnym miasta Bytomia oraz jego jednostek organizacyjnych, warunków dopuszczalności pomocy publicznej, w^których ulga będzie stanowić pomoc publiczną oraz wskazania organów uprawnionych do udzielenia przedmiotowych ulg</dc:subject>
  <dc:creator>gmazgaj</dc:creator>
  <cp:lastModifiedBy>gmazgaj</cp:lastModifiedBy>
  <cp:revision>1</cp:revision>
  <dcterms:created xsi:type="dcterms:W3CDTF">2021-05-14T11:11:07Z</dcterms:created>
  <dcterms:modified xsi:type="dcterms:W3CDTF">2021-05-14T11:11:07Z</dcterms:modified>
  <cp:category>Akt prawny</cp:category>
</cp:coreProperties>
</file>