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emisji obligacji oraz określenia zasad ich zbywania, nabywania i wykupu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obligacjach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1208,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Miasto Bytom wyemituje obligacje komunalne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liczbie 30.000 (trzydzieści tysięcy) sztuk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wartości nominalnej 1.000,00 PLN (jeden tysiąc złotych) każda, na łączną kwotę 30.000.000,00 PLN (trzydzieści milionów złotych).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nastąpi poprzez propozycję nabycia skierowaną do jednego adresata.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będą obligacjami na okaziciela.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zabezpieczone.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jednej obligacji będzie równa 1.000,00 PLN (jeden tysiąc złotych).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mogą zostać dopuszczone do obrotu na rynku regulowanym lub wprowadzone do ASO (Alternatywny System Obrotu).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ma na celu sfinansowanie planowanego deficytu 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wydatkami majątkowymi oraz spłatę wcześniej zaciągniętych zobowiązań.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wyemitowane zostaną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następujących seriach: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A21 na kwotę 10.000.000,00 PLN;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B21 na kwotę 10.000.000,00 PLN;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C21 na kwotę 10.000.000,00 PLN.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zostanie przeprowadzona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obligacji będzie równa wartości nominalnej.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budżetu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naliczane od wartości nominalnej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okresach półrocznych liczonych od daty emisji,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zastrzeżeniem, że pierwszy okres odsetkowy może trwać maksymalnie dwanaście miesięcy.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zmienne, równe stawce WIBOR 6M, ustalonej na dwa dni robocze przed rozpoczęciem okresu odsetkowego, powiększonej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marżę.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Odsetki za dany okres odsetkowy (oprocentowanie) będą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następnym dniu po upływie okresu odsetkowego,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odsetki za ostatni okres odsetkowy będą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dacie wykupu.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termin wypłaty odsetek (oprocentowania)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przypadnie na sobotę lub dzień ustawowo wolny od pracy, wypłata odsetek (oprocentowania)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 tym dniu.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terminach: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A21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B21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C21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według wartości nominalnej.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lub przychodów budżetu miasta Bytomia. 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wypłatą oprocentowania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budżetu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data wykupu obligacji określona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przypadnie na sobotę lub dzień ustawowo wolny od pracy, wykup obligacji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 tym dniu.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możliwość nabycia przez Emitenta obligacji dowolnej serii przed terminem wykupu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ich umorzenia. Terminy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umorzenia określi Prezydent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wszelkich czynności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obligacji;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zawarcia umów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podmiotem, któremu zostaną powierzone czynności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organizacją emisji obligacji, wykonywaniem funkcji agenta emisji oraz agenta płatniczego, jak również do zawarcia ewentualnych innych umów pozostających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emisją obligacji;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wypełnienia świadczeń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podjęcia decyzji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wprowadzeniu obligacji do zorganizowanego systemu obrotu lub certyfikacji instrumentów finansowych.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6"/>
              </w:rPr>
              <w:t>Oprac.: M. Grabowska, A. Tkaczyk</w:t>
            </w:r>
          </w:p>
          <w:p>
            <w:pPr>
              <w:jc w:val="both"/>
            </w:pPr>
            <w:r>
              <w:rPr>
                <w:sz w:val="16"/>
              </w:rPr>
              <w:t>5 maja 2021r.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stanowi formalny początek i podstawę prawną procedury uruchamiania emisji obligacji komunalnych.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Obligacje komunalne to papiery wartościowe emitowane przez jednostkę samorządu terytorialnego. Jednostka samorządowa otrzymuje od nabywców obligacji środki pieniężne, natomiast sama jest zobowiązana do zapłaty obligatariuszom odsetek i wykupu obligacji po określonym czasie.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 emisji opiewa na kwotę 30.000.000 PLN. Planuje się, że wykup obligacji następować będzie w okresie 10 lat.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Emisja obligacji ma na celu sfinansowanie części planowanego deficytu budżetu w roku 2021 związanego z wydatkami majątkowymi oraz spłatą wcześniej zaciągniętych zobowiązań.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w sprawie emisji obligacji określa ogólne warunki emisji. Uchwała określa między innymi wielkość emisji, podział na transze i serie, sposób emisji, zasady oprocentowania. Ogólne określenie warunków emisji obligacji jest niezbędne w celu przeprowadzenia negocjacji na wybór podmiotu, który będzie organizatorem, depozytariuszem i gwarantem emisji oraz podmiotu pełniącego funkcje agenta emisji. Uchwała ta określa przedmiot zamówienia, zakreślając równocześnie granice, w których oferenci mogą przygotowywać swoje oferty. Po przeprowadzeniu postępowania, zostaną podpisane stosowne umowy.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0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both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>Oprac.: M.</w:t>
            </w:r>
            <w:r>
              <w:rPr>
                <w:rFonts w:eastAsia="Times New Roman" w:cs="Times New Roman"/>
                <w:sz w:val="16"/>
                <w:szCs w:val="20"/>
              </w:rPr>
              <w:t xml:space="preserve"> </w:t>
            </w:r>
            <w:r>
              <w:rPr>
                <w:rFonts w:eastAsia="Times New Roman" w:cs="Times New Roman"/>
                <w:sz w:val="16"/>
                <w:szCs w:val="20"/>
              </w:rPr>
              <w:t>Grabowska, A.</w:t>
            </w:r>
            <w:r>
              <w:rPr>
                <w:rFonts w:eastAsia="Times New Roman" w:cs="Times New Roman"/>
                <w:sz w:val="16"/>
                <w:szCs w:val="20"/>
              </w:rPr>
              <w:t xml:space="preserve"> </w:t>
            </w:r>
            <w:r>
              <w:rPr>
                <w:rFonts w:eastAsia="Times New Roman" w:cs="Times New Roman"/>
                <w:sz w:val="16"/>
                <w:szCs w:val="20"/>
              </w:rPr>
              <w:t>Tkaczyk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both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 w:val="16"/>
                <w:szCs w:val="20"/>
              </w:rPr>
              <w:t>5 maja 2021r.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28D19E4F-3A6F-4DBB-B510-DAAB812D6769.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28D19E4F-3A6F-4DBB-B510-DAAB812D6769.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emisji obligacji oraz określenia zasad ich zbywania, nabywania i^wykupu</dc:subject>
  <dc:creator>epakula</dc:creator>
  <cp:lastModifiedBy>epakula</cp:lastModifiedBy>
  <cp:revision>1</cp:revision>
  <dcterms:created xsi:type="dcterms:W3CDTF">2021-05-14T10:20:09Z</dcterms:created>
  <dcterms:modified xsi:type="dcterms:W3CDTF">2021-05-14T10:20:09Z</dcterms:modified>
  <cp:category>Akt prawny</cp:category>
</cp:coreProperties>
</file>