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XXVI/231/25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15 grudnia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Gminnego Programu Profilaktyki i Rozwiązywania Problemów Alkoholowych oraz Przeciwdziałania Narkomanii w Bytomiu na 2026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1990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1153)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1982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trzeźwości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alkoholizmowi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2151,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oraz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narkomanii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1939,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poźn. zm.),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Uchwala się Gminny Program Profilaktyki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Rozwiązywania Problemów Alkoholowych oraz Przeciwdziałania Narkomanii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na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rok, stanowiący załącznik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XXVI/231/25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15 grudnia 2025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Zalacznik___1.pdf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Gminny Program Profilaktyki i Rozwiązywania Problemów Alkoholowych oraz Przeciwdziałania Narkomanii w Bytomiu na 2026 rok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Gminny Program Profilaktyki i Rozwiązywania Problemów Alkoholowych oraz Przeciwdziałania Narkomanii w Bytomiu na 2026 rok został opracowany zgodnie z zadaniami określonymi w art. 4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1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1 ustawy z dnia 26 października 1982 r. o wychowaniu w trzeźwości i przeciwdziałania alkoholizmowi, art. 10 ust. 1 ustawy z dnia 29 lipca 2005 r. o przeciwdziałaniu narkomanii, jak również potrzebami występującymi na terenie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Program dotyczy kształtowania polityki społecznej oraz jest kontynuacją zadań realizowanych w gminie w poprzednich latach. Kompleksowo określa cele i kierunki działań, zmierzające do zmniejszenia skali zjawiska uzależnień w środowisku lokalnym, ograniczenia społecznych i zdrowotnych skutków wynikających z nadużywania substancji psychoaktywnych, głównie alkoholu i narkotyków, a także uzależnień behawioralnych, poprzez prowadzenie działań profilaktycznych, terapeutycznych i rehabilitacyjnych.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Program określa zasady wynagradzania członków Miejskiej Komisji Rozwiązywania Problemów Alkoholowych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Program finansowany jest głównie ze środków uzyskiwanych z opłat za wydawanie zezwoleń na sprzedaż napojów alkoholowych.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Koordynatorem ww. Programu jest Centrum Przeciwdziałania Uzależnieniom w Bytomiu, przy ul. Tarnogórskiej 3.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EBFB64B3-D98B-45CB-A9CE-1653368AB338.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EBFB64B3-D98B-45CB-A9CE-1653368AB338.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EBFB64B3-D98B-45CB-A9CE-1653368AB338.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___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XXVI/231/25 z dnia 15 grudnia 2025 r.</dc:title>
  <dc:subject>w sprawie uchwalenia Gminnego Programu Profilaktyki i^Rozwiązywania Problemów Alkoholowych oraz Przeciwdziałania Narkomanii w^Bytomiu na 2026^rok</dc:subject>
  <dc:creator>asteuer</dc:creator>
  <cp:lastModifiedBy>asteuer</cp:lastModifiedBy>
  <cp:revision>1</cp:revision>
  <dcterms:created xsi:type="dcterms:W3CDTF">2025-12-17T13:09:26Z</dcterms:created>
  <dcterms:modified xsi:type="dcterms:W3CDTF">2025-12-17T13:09:26Z</dcterms:modified>
  <cp:category>Akt prawny</cp:category>
</cp:coreProperties>
</file>