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6E" w:rsidRPr="003007BC" w:rsidRDefault="00F7786E" w:rsidP="004F6949">
      <w:pPr>
        <w:spacing w:line="276" w:lineRule="auto"/>
        <w:ind w:left="5664"/>
        <w:jc w:val="both"/>
        <w:rPr>
          <w:sz w:val="16"/>
          <w:szCs w:val="16"/>
        </w:rPr>
      </w:pPr>
    </w:p>
    <w:p w:rsidR="000959D0" w:rsidRPr="002507F3" w:rsidRDefault="000959D0" w:rsidP="004F6949">
      <w:pPr>
        <w:tabs>
          <w:tab w:val="left" w:pos="9072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2507F3">
        <w:rPr>
          <w:rFonts w:ascii="Arial" w:hAnsi="Arial" w:cs="Arial"/>
          <w:sz w:val="22"/>
          <w:szCs w:val="22"/>
        </w:rPr>
        <w:t xml:space="preserve">Bytom, </w:t>
      </w:r>
      <w:r w:rsidR="0032783D" w:rsidRPr="002507F3">
        <w:rPr>
          <w:rFonts w:ascii="Arial" w:hAnsi="Arial" w:cs="Arial"/>
          <w:sz w:val="22"/>
          <w:szCs w:val="22"/>
        </w:rPr>
        <w:t xml:space="preserve">        </w:t>
      </w:r>
      <w:r w:rsidR="00863C0B" w:rsidRPr="002507F3">
        <w:rPr>
          <w:rFonts w:ascii="Arial" w:hAnsi="Arial" w:cs="Arial"/>
          <w:sz w:val="22"/>
          <w:szCs w:val="22"/>
        </w:rPr>
        <w:t xml:space="preserve">           </w:t>
      </w:r>
      <w:r w:rsidRPr="002507F3">
        <w:rPr>
          <w:rFonts w:ascii="Arial" w:hAnsi="Arial" w:cs="Arial"/>
          <w:sz w:val="22"/>
          <w:szCs w:val="22"/>
        </w:rPr>
        <w:t xml:space="preserve"> r.</w:t>
      </w:r>
    </w:p>
    <w:p w:rsidR="00490021" w:rsidRPr="002507F3" w:rsidRDefault="00490021" w:rsidP="004F6949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507F3">
        <w:rPr>
          <w:rFonts w:ascii="Arial" w:hAnsi="Arial" w:cs="Arial"/>
          <w:sz w:val="18"/>
          <w:szCs w:val="18"/>
        </w:rPr>
        <w:t>AN</w:t>
      </w:r>
      <w:r w:rsidR="00EF1550" w:rsidRPr="002507F3">
        <w:rPr>
          <w:rFonts w:ascii="Arial" w:hAnsi="Arial" w:cs="Arial"/>
          <w:sz w:val="18"/>
          <w:szCs w:val="18"/>
        </w:rPr>
        <w:t>.0003.4</w:t>
      </w:r>
      <w:r w:rsidR="00B8095D" w:rsidRPr="002507F3">
        <w:rPr>
          <w:rFonts w:ascii="Arial" w:hAnsi="Arial" w:cs="Arial"/>
          <w:sz w:val="18"/>
          <w:szCs w:val="18"/>
        </w:rPr>
        <w:t>.202</w:t>
      </w:r>
      <w:r w:rsidR="00EF1550" w:rsidRPr="002507F3">
        <w:rPr>
          <w:rFonts w:ascii="Arial" w:hAnsi="Arial" w:cs="Arial"/>
          <w:sz w:val="18"/>
          <w:szCs w:val="18"/>
        </w:rPr>
        <w:t>5</w:t>
      </w:r>
    </w:p>
    <w:p w:rsidR="00490021" w:rsidRPr="002507F3" w:rsidRDefault="00490021" w:rsidP="004F694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B60DF" w:rsidRPr="002507F3" w:rsidRDefault="00FB60DF" w:rsidP="002507F3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507F3">
        <w:rPr>
          <w:rFonts w:ascii="Arial" w:hAnsi="Arial" w:cs="Arial"/>
          <w:sz w:val="22"/>
          <w:szCs w:val="22"/>
        </w:rPr>
        <w:tab/>
      </w:r>
      <w:r w:rsidRPr="002507F3">
        <w:rPr>
          <w:rFonts w:ascii="Arial" w:hAnsi="Arial" w:cs="Arial"/>
          <w:b/>
          <w:sz w:val="22"/>
          <w:szCs w:val="22"/>
        </w:rPr>
        <w:t>Pan</w:t>
      </w:r>
      <w:r w:rsidR="00EF1550" w:rsidRPr="002507F3">
        <w:rPr>
          <w:rFonts w:ascii="Arial" w:hAnsi="Arial" w:cs="Arial"/>
          <w:b/>
          <w:sz w:val="22"/>
          <w:szCs w:val="22"/>
        </w:rPr>
        <w:t>i Beata Adamczyk-Nowak</w:t>
      </w:r>
    </w:p>
    <w:p w:rsidR="00FB60DF" w:rsidRPr="002507F3" w:rsidRDefault="002507F3" w:rsidP="002507F3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Radna</w:t>
      </w:r>
      <w:r w:rsidR="00FB60DF" w:rsidRPr="002507F3">
        <w:rPr>
          <w:rFonts w:ascii="Arial" w:hAnsi="Arial" w:cs="Arial"/>
          <w:b/>
          <w:sz w:val="22"/>
          <w:szCs w:val="22"/>
        </w:rPr>
        <w:t xml:space="preserve"> Rady Miejskiej w Bytomiu</w:t>
      </w:r>
    </w:p>
    <w:p w:rsidR="00FB60DF" w:rsidRPr="002507F3" w:rsidRDefault="00FB60DF" w:rsidP="002507F3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507F3">
        <w:rPr>
          <w:rFonts w:ascii="Arial" w:hAnsi="Arial" w:cs="Arial"/>
          <w:b/>
          <w:sz w:val="22"/>
          <w:szCs w:val="22"/>
        </w:rPr>
        <w:tab/>
        <w:t>____________________________</w:t>
      </w:r>
    </w:p>
    <w:p w:rsidR="00BD3EAE" w:rsidRPr="002507F3" w:rsidRDefault="00BD3EAE" w:rsidP="004F6949">
      <w:pPr>
        <w:pStyle w:val="Tekstpodstawowy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FB60DF" w:rsidRPr="002507F3" w:rsidRDefault="00FB60DF" w:rsidP="004F6949">
      <w:pPr>
        <w:pStyle w:val="Tekstpodstawowy"/>
        <w:tabs>
          <w:tab w:val="left" w:pos="1585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966756" w:rsidRPr="002507F3" w:rsidRDefault="00FB60DF" w:rsidP="004F6949">
      <w:pPr>
        <w:pStyle w:val="Tekstpodstawowy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507F3">
        <w:rPr>
          <w:rFonts w:ascii="Arial" w:hAnsi="Arial" w:cs="Arial"/>
          <w:sz w:val="22"/>
          <w:szCs w:val="22"/>
        </w:rPr>
        <w:t xml:space="preserve">W </w:t>
      </w:r>
      <w:r w:rsidR="00EE1DB0" w:rsidRPr="002507F3">
        <w:rPr>
          <w:rFonts w:ascii="Arial" w:hAnsi="Arial" w:cs="Arial"/>
          <w:sz w:val="22"/>
          <w:szCs w:val="22"/>
        </w:rPr>
        <w:t xml:space="preserve">odpowiedzi na </w:t>
      </w:r>
      <w:r w:rsidRPr="002507F3">
        <w:rPr>
          <w:rFonts w:ascii="Arial" w:hAnsi="Arial" w:cs="Arial"/>
          <w:sz w:val="22"/>
          <w:szCs w:val="22"/>
        </w:rPr>
        <w:t>interpelacj</w:t>
      </w:r>
      <w:r w:rsidR="00EE1DB0" w:rsidRPr="002507F3">
        <w:rPr>
          <w:rFonts w:ascii="Arial" w:hAnsi="Arial" w:cs="Arial"/>
          <w:sz w:val="22"/>
          <w:szCs w:val="22"/>
        </w:rPr>
        <w:t>ę</w:t>
      </w:r>
      <w:r w:rsidRPr="002507F3">
        <w:rPr>
          <w:rFonts w:ascii="Arial" w:hAnsi="Arial" w:cs="Arial"/>
          <w:sz w:val="22"/>
          <w:szCs w:val="22"/>
        </w:rPr>
        <w:t xml:space="preserve"> nr PR.0003.</w:t>
      </w:r>
      <w:r w:rsidR="00EF1550" w:rsidRPr="002507F3">
        <w:rPr>
          <w:rFonts w:ascii="Arial" w:hAnsi="Arial" w:cs="Arial"/>
          <w:sz w:val="22"/>
          <w:szCs w:val="22"/>
        </w:rPr>
        <w:t>405</w:t>
      </w:r>
      <w:r w:rsidRPr="002507F3">
        <w:rPr>
          <w:rFonts w:ascii="Arial" w:hAnsi="Arial" w:cs="Arial"/>
          <w:sz w:val="22"/>
          <w:szCs w:val="22"/>
        </w:rPr>
        <w:t>.202</w:t>
      </w:r>
      <w:r w:rsidR="00EF1550" w:rsidRPr="002507F3">
        <w:rPr>
          <w:rFonts w:ascii="Arial" w:hAnsi="Arial" w:cs="Arial"/>
          <w:sz w:val="22"/>
          <w:szCs w:val="22"/>
        </w:rPr>
        <w:t>5</w:t>
      </w:r>
      <w:r w:rsidRPr="002507F3">
        <w:rPr>
          <w:rFonts w:ascii="Arial" w:hAnsi="Arial" w:cs="Arial"/>
          <w:sz w:val="22"/>
          <w:szCs w:val="22"/>
        </w:rPr>
        <w:t xml:space="preserve"> z 1</w:t>
      </w:r>
      <w:r w:rsidR="00EF1550" w:rsidRPr="002507F3">
        <w:rPr>
          <w:rFonts w:ascii="Arial" w:hAnsi="Arial" w:cs="Arial"/>
          <w:sz w:val="22"/>
          <w:szCs w:val="22"/>
        </w:rPr>
        <w:t>4 lipc</w:t>
      </w:r>
      <w:r w:rsidRPr="002507F3">
        <w:rPr>
          <w:rFonts w:ascii="Arial" w:hAnsi="Arial" w:cs="Arial"/>
          <w:sz w:val="22"/>
          <w:szCs w:val="22"/>
        </w:rPr>
        <w:t>a 202</w:t>
      </w:r>
      <w:r w:rsidR="00EF1550" w:rsidRPr="002507F3">
        <w:rPr>
          <w:rFonts w:ascii="Arial" w:hAnsi="Arial" w:cs="Arial"/>
          <w:sz w:val="22"/>
          <w:szCs w:val="22"/>
        </w:rPr>
        <w:t>5</w:t>
      </w:r>
      <w:r w:rsidRPr="002507F3">
        <w:rPr>
          <w:rFonts w:ascii="Arial" w:hAnsi="Arial" w:cs="Arial"/>
          <w:sz w:val="22"/>
          <w:szCs w:val="22"/>
        </w:rPr>
        <w:t xml:space="preserve"> roku uprzejmie informuję, że </w:t>
      </w:r>
      <w:r w:rsidR="00EF1550" w:rsidRPr="002507F3">
        <w:rPr>
          <w:rFonts w:ascii="Arial" w:hAnsi="Arial" w:cs="Arial"/>
          <w:sz w:val="22"/>
          <w:szCs w:val="22"/>
        </w:rPr>
        <w:t>Powiatow</w:t>
      </w:r>
      <w:r w:rsidR="00EE1DB0" w:rsidRPr="002507F3">
        <w:rPr>
          <w:rFonts w:ascii="Arial" w:hAnsi="Arial" w:cs="Arial"/>
          <w:sz w:val="22"/>
          <w:szCs w:val="22"/>
        </w:rPr>
        <w:t>y</w:t>
      </w:r>
      <w:r w:rsidR="00EF1550" w:rsidRPr="002507F3">
        <w:rPr>
          <w:rFonts w:ascii="Arial" w:hAnsi="Arial" w:cs="Arial"/>
          <w:sz w:val="22"/>
          <w:szCs w:val="22"/>
        </w:rPr>
        <w:t xml:space="preserve"> Inspektor</w:t>
      </w:r>
      <w:r w:rsidR="00EE1DB0" w:rsidRPr="002507F3">
        <w:rPr>
          <w:rFonts w:ascii="Arial" w:hAnsi="Arial" w:cs="Arial"/>
          <w:sz w:val="22"/>
          <w:szCs w:val="22"/>
        </w:rPr>
        <w:t>at</w:t>
      </w:r>
      <w:r w:rsidR="00EF1550" w:rsidRPr="002507F3">
        <w:rPr>
          <w:rFonts w:ascii="Arial" w:hAnsi="Arial" w:cs="Arial"/>
          <w:sz w:val="22"/>
          <w:szCs w:val="22"/>
        </w:rPr>
        <w:t xml:space="preserve"> Nadzoru Budowlane</w:t>
      </w:r>
      <w:r w:rsidR="00EE1DB0" w:rsidRPr="002507F3">
        <w:rPr>
          <w:rFonts w:ascii="Arial" w:hAnsi="Arial" w:cs="Arial"/>
          <w:sz w:val="22"/>
          <w:szCs w:val="22"/>
        </w:rPr>
        <w:t>go</w:t>
      </w:r>
      <w:r w:rsidR="00EF1550" w:rsidRPr="002507F3">
        <w:rPr>
          <w:rFonts w:ascii="Arial" w:hAnsi="Arial" w:cs="Arial"/>
          <w:sz w:val="22"/>
          <w:szCs w:val="22"/>
        </w:rPr>
        <w:t xml:space="preserve"> w Byto</w:t>
      </w:r>
      <w:r w:rsidR="00770558" w:rsidRPr="002507F3">
        <w:rPr>
          <w:rFonts w:ascii="Arial" w:hAnsi="Arial" w:cs="Arial"/>
          <w:sz w:val="22"/>
          <w:szCs w:val="22"/>
        </w:rPr>
        <w:t>miu</w:t>
      </w:r>
      <w:r w:rsidR="002507F3">
        <w:rPr>
          <w:rFonts w:ascii="Arial" w:hAnsi="Arial" w:cs="Arial"/>
          <w:sz w:val="22"/>
          <w:szCs w:val="22"/>
        </w:rPr>
        <w:t xml:space="preserve"> po </w:t>
      </w:r>
      <w:r w:rsidR="00EE1DB0" w:rsidRPr="002507F3">
        <w:rPr>
          <w:rFonts w:ascii="Arial" w:hAnsi="Arial" w:cs="Arial"/>
          <w:sz w:val="22"/>
          <w:szCs w:val="22"/>
        </w:rPr>
        <w:t>przeprowadzeniu kontroli w terenie, w celu weryfikacji stanu faktycznego oraz potwierdzenia lub wykluczenia zasadności wszczęcia postępowania, nie potwierdził narus</w:t>
      </w:r>
      <w:r w:rsidR="002507F3">
        <w:rPr>
          <w:rFonts w:ascii="Arial" w:hAnsi="Arial" w:cs="Arial"/>
          <w:sz w:val="22"/>
          <w:szCs w:val="22"/>
        </w:rPr>
        <w:t>zenia przepisów ustawy z dnia 7 </w:t>
      </w:r>
      <w:r w:rsidR="00EE1DB0" w:rsidRPr="002507F3">
        <w:rPr>
          <w:rFonts w:ascii="Arial" w:hAnsi="Arial" w:cs="Arial"/>
          <w:sz w:val="22"/>
          <w:szCs w:val="22"/>
        </w:rPr>
        <w:t>lipca 1994 r. – Prawo budowlane, i stwierdził brak podstaw do wszczęcia postępowania administracyjnego.</w:t>
      </w:r>
    </w:p>
    <w:p w:rsidR="00EE1DB0" w:rsidRPr="002507F3" w:rsidRDefault="005245BD" w:rsidP="004F6949">
      <w:pPr>
        <w:pStyle w:val="Tekstpodstawowy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507F3">
        <w:rPr>
          <w:rFonts w:ascii="Arial" w:hAnsi="Arial" w:cs="Arial"/>
          <w:sz w:val="22"/>
          <w:szCs w:val="22"/>
        </w:rPr>
        <w:t xml:space="preserve">W trakcie kontroli organ nadzoru budowlanego stwierdził, </w:t>
      </w:r>
      <w:r w:rsidR="0047473D" w:rsidRPr="002507F3">
        <w:rPr>
          <w:rFonts w:ascii="Arial" w:hAnsi="Arial" w:cs="Arial"/>
          <w:sz w:val="22"/>
          <w:szCs w:val="22"/>
        </w:rPr>
        <w:t xml:space="preserve">że przedmiotowe ogrodzenie </w:t>
      </w:r>
      <w:r w:rsidR="00966756" w:rsidRPr="002507F3">
        <w:rPr>
          <w:rFonts w:ascii="Arial" w:hAnsi="Arial" w:cs="Arial"/>
          <w:sz w:val="22"/>
          <w:szCs w:val="22"/>
        </w:rPr>
        <w:t>pozostawia szerokość przejścia/prz</w:t>
      </w:r>
      <w:r w:rsidR="002507F3">
        <w:rPr>
          <w:rFonts w:ascii="Arial" w:hAnsi="Arial" w:cs="Arial"/>
          <w:sz w:val="22"/>
          <w:szCs w:val="22"/>
        </w:rPr>
        <w:t>ejazdu nie mniejszą niż 3,0 m i zawiera się w </w:t>
      </w:r>
      <w:r w:rsidR="00966756" w:rsidRPr="002507F3">
        <w:rPr>
          <w:rFonts w:ascii="Arial" w:hAnsi="Arial" w:cs="Arial"/>
          <w:sz w:val="22"/>
          <w:szCs w:val="22"/>
        </w:rPr>
        <w:t xml:space="preserve">pasie działki gruntu nr 5530/351, </w:t>
      </w:r>
      <w:r w:rsidR="002507F3">
        <w:rPr>
          <w:rFonts w:ascii="Arial" w:hAnsi="Arial" w:cs="Arial"/>
          <w:sz w:val="22"/>
          <w:szCs w:val="22"/>
        </w:rPr>
        <w:t xml:space="preserve">co wypełnia warunek określony w </w:t>
      </w:r>
      <w:r w:rsidR="00966756" w:rsidRPr="002507F3">
        <w:rPr>
          <w:rFonts w:ascii="Arial" w:hAnsi="Arial" w:cs="Arial"/>
          <w:sz w:val="22"/>
          <w:szCs w:val="22"/>
        </w:rPr>
        <w:t>dziale III księgi wieczystej w przedmiocie ustanowionej służebności gruntowej, po</w:t>
      </w:r>
      <w:r w:rsidR="005742DA" w:rsidRPr="002507F3">
        <w:rPr>
          <w:rFonts w:ascii="Arial" w:hAnsi="Arial" w:cs="Arial"/>
          <w:sz w:val="22"/>
          <w:szCs w:val="22"/>
        </w:rPr>
        <w:t xml:space="preserve">legającej na prawie przejazdu i </w:t>
      </w:r>
      <w:r w:rsidR="00966756" w:rsidRPr="002507F3">
        <w:rPr>
          <w:rFonts w:ascii="Arial" w:hAnsi="Arial" w:cs="Arial"/>
          <w:sz w:val="22"/>
          <w:szCs w:val="22"/>
        </w:rPr>
        <w:t>przechodu</w:t>
      </w:r>
      <w:r w:rsidR="004F6949" w:rsidRPr="002507F3">
        <w:rPr>
          <w:rFonts w:ascii="Arial" w:hAnsi="Arial" w:cs="Arial"/>
          <w:sz w:val="22"/>
          <w:szCs w:val="22"/>
        </w:rPr>
        <w:t xml:space="preserve"> o szerokości 3 m</w:t>
      </w:r>
      <w:r w:rsidR="00966756" w:rsidRPr="002507F3">
        <w:rPr>
          <w:rFonts w:ascii="Arial" w:hAnsi="Arial" w:cs="Arial"/>
          <w:sz w:val="22"/>
          <w:szCs w:val="22"/>
        </w:rPr>
        <w:t xml:space="preserve">. </w:t>
      </w:r>
      <w:r w:rsidR="005742DA" w:rsidRPr="002507F3">
        <w:rPr>
          <w:rFonts w:ascii="Arial" w:hAnsi="Arial" w:cs="Arial"/>
          <w:sz w:val="22"/>
          <w:szCs w:val="22"/>
        </w:rPr>
        <w:t>Przedmiotowe ogrodzenie posiada wysokość 1,8 m, i zgodnie z przepisami ww. ustawy nie wymaga uprz</w:t>
      </w:r>
      <w:r w:rsidR="002507F3">
        <w:rPr>
          <w:rFonts w:ascii="Arial" w:hAnsi="Arial" w:cs="Arial"/>
          <w:sz w:val="22"/>
          <w:szCs w:val="22"/>
        </w:rPr>
        <w:t>edniego uzyskania pozwolenia na </w:t>
      </w:r>
      <w:r w:rsidR="005742DA" w:rsidRPr="002507F3">
        <w:rPr>
          <w:rFonts w:ascii="Arial" w:hAnsi="Arial" w:cs="Arial"/>
          <w:sz w:val="22"/>
          <w:szCs w:val="22"/>
        </w:rPr>
        <w:t>budowę ani zgłoszenia budowy, tym samym nie potwierdzono nieprawidłowości związanych z naruszeniem przepisów prawa budowlanego w zakresie samowoli budowlanej.</w:t>
      </w:r>
    </w:p>
    <w:p w:rsidR="0079127C" w:rsidRPr="002507F3" w:rsidRDefault="00511220" w:rsidP="004F6949">
      <w:pPr>
        <w:pStyle w:val="Tekstpodstawowy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507F3">
        <w:rPr>
          <w:rFonts w:ascii="Arial" w:hAnsi="Arial" w:cs="Arial"/>
          <w:sz w:val="22"/>
          <w:szCs w:val="22"/>
        </w:rPr>
        <w:t xml:space="preserve">Jednocześnie </w:t>
      </w:r>
      <w:r w:rsidR="0083374E" w:rsidRPr="002507F3">
        <w:rPr>
          <w:rFonts w:ascii="Arial" w:hAnsi="Arial" w:cs="Arial"/>
          <w:sz w:val="22"/>
          <w:szCs w:val="22"/>
        </w:rPr>
        <w:t xml:space="preserve">organ nadzoru budowlanego wskazał, że kwestie związane z zapewnieniem właściwego dojazdu do nieruchomości ujęte są w przepisach Kodeksu cywilnego, w tym art. 145 § 1 i 2, zgodnie z którymi to na zainteresowanych stronach (właścicielach) spoczywa </w:t>
      </w:r>
      <w:r w:rsidR="0079127C" w:rsidRPr="002507F3">
        <w:rPr>
          <w:rFonts w:ascii="Arial" w:hAnsi="Arial" w:cs="Arial"/>
          <w:sz w:val="22"/>
          <w:szCs w:val="22"/>
        </w:rPr>
        <w:t>obowiązek zapewnienia odpowie</w:t>
      </w:r>
      <w:r w:rsidR="002507F3">
        <w:rPr>
          <w:rFonts w:ascii="Arial" w:hAnsi="Arial" w:cs="Arial"/>
          <w:sz w:val="22"/>
          <w:szCs w:val="22"/>
        </w:rPr>
        <w:t>dniego dostępu do </w:t>
      </w:r>
      <w:r w:rsidR="0079127C" w:rsidRPr="002507F3">
        <w:rPr>
          <w:rFonts w:ascii="Arial" w:hAnsi="Arial" w:cs="Arial"/>
          <w:sz w:val="22"/>
          <w:szCs w:val="22"/>
        </w:rPr>
        <w:t>nieruchomości. W przypadku braku uzgodnień pomiędzy właścicielami, ustalenie służebności pozostaje w kompetencjach właściwego miejscowo sądu.</w:t>
      </w:r>
    </w:p>
    <w:p w:rsidR="00EA51AD" w:rsidRPr="002507F3" w:rsidRDefault="002507F3" w:rsidP="004F6949">
      <w:pPr>
        <w:pStyle w:val="Tekstpodstawowy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Wskazać</w:t>
      </w:r>
      <w:r w:rsidR="0079127C" w:rsidRPr="002507F3">
        <w:rPr>
          <w:rFonts w:ascii="Arial" w:hAnsi="Arial" w:cs="Arial"/>
          <w:sz w:val="22"/>
          <w:szCs w:val="22"/>
        </w:rPr>
        <w:t xml:space="preserve"> jednak należy</w:t>
      </w:r>
      <w:r w:rsidR="00511220" w:rsidRPr="002507F3">
        <w:rPr>
          <w:rFonts w:ascii="Arial" w:hAnsi="Arial" w:cs="Arial"/>
          <w:sz w:val="22"/>
          <w:szCs w:val="22"/>
        </w:rPr>
        <w:t xml:space="preserve">, że </w:t>
      </w:r>
      <w:r w:rsidR="004F6949" w:rsidRPr="002507F3">
        <w:rPr>
          <w:rFonts w:ascii="Arial" w:hAnsi="Arial" w:cs="Arial"/>
          <w:sz w:val="22"/>
          <w:szCs w:val="22"/>
        </w:rPr>
        <w:t>aktualna szerokość doja</w:t>
      </w:r>
      <w:r>
        <w:rPr>
          <w:rFonts w:ascii="Arial" w:hAnsi="Arial" w:cs="Arial"/>
          <w:sz w:val="22"/>
          <w:szCs w:val="22"/>
        </w:rPr>
        <w:t>zdu wynosząca nie mniej niż 3,0 </w:t>
      </w:r>
      <w:r w:rsidR="004F6949" w:rsidRPr="002507F3">
        <w:rPr>
          <w:rFonts w:ascii="Arial" w:hAnsi="Arial" w:cs="Arial"/>
          <w:sz w:val="22"/>
          <w:szCs w:val="22"/>
        </w:rPr>
        <w:t>m</w:t>
      </w:r>
      <w:r w:rsidRPr="002507F3">
        <w:rPr>
          <w:rFonts w:ascii="Arial" w:hAnsi="Arial" w:cs="Arial"/>
          <w:sz w:val="22"/>
          <w:szCs w:val="22"/>
        </w:rPr>
        <w:t>,</w:t>
      </w:r>
      <w:r w:rsidR="004F6949" w:rsidRPr="002507F3">
        <w:rPr>
          <w:rFonts w:ascii="Arial" w:hAnsi="Arial" w:cs="Arial"/>
          <w:sz w:val="22"/>
          <w:szCs w:val="22"/>
        </w:rPr>
        <w:t xml:space="preserve"> jest zgodna z zawartą pomiędzy właścicielami </w:t>
      </w:r>
      <w:r w:rsidR="00770558" w:rsidRPr="002507F3">
        <w:rPr>
          <w:rFonts w:ascii="Arial" w:hAnsi="Arial" w:cs="Arial"/>
          <w:sz w:val="22"/>
          <w:szCs w:val="22"/>
        </w:rPr>
        <w:t>umow</w:t>
      </w:r>
      <w:r w:rsidR="004F6949" w:rsidRPr="002507F3">
        <w:rPr>
          <w:rFonts w:ascii="Arial" w:hAnsi="Arial" w:cs="Arial"/>
          <w:sz w:val="22"/>
          <w:szCs w:val="22"/>
        </w:rPr>
        <w:t>ą</w:t>
      </w:r>
      <w:r w:rsidR="00770558" w:rsidRPr="002507F3">
        <w:rPr>
          <w:rFonts w:ascii="Arial" w:hAnsi="Arial" w:cs="Arial"/>
          <w:sz w:val="22"/>
          <w:szCs w:val="22"/>
        </w:rPr>
        <w:t xml:space="preserve">, </w:t>
      </w:r>
      <w:r w:rsidRPr="002507F3">
        <w:rPr>
          <w:rFonts w:ascii="Arial" w:hAnsi="Arial" w:cs="Arial"/>
          <w:sz w:val="22"/>
          <w:szCs w:val="22"/>
        </w:rPr>
        <w:t>która</w:t>
      </w:r>
      <w:r w:rsidR="00770558" w:rsidRPr="002507F3">
        <w:rPr>
          <w:rFonts w:ascii="Arial" w:hAnsi="Arial" w:cs="Arial"/>
          <w:sz w:val="22"/>
          <w:szCs w:val="22"/>
        </w:rPr>
        <w:t xml:space="preserve"> zapewnia</w:t>
      </w:r>
      <w:r w:rsidRPr="002507F3">
        <w:rPr>
          <w:rFonts w:ascii="Arial" w:hAnsi="Arial" w:cs="Arial"/>
          <w:sz w:val="22"/>
          <w:szCs w:val="22"/>
        </w:rPr>
        <w:t>ła</w:t>
      </w:r>
      <w:r>
        <w:rPr>
          <w:rFonts w:ascii="Arial" w:hAnsi="Arial" w:cs="Arial"/>
          <w:sz w:val="22"/>
          <w:szCs w:val="22"/>
        </w:rPr>
        <w:t xml:space="preserve"> skomunikowanie</w:t>
      </w:r>
      <w:r w:rsidR="00770558" w:rsidRPr="002507F3">
        <w:rPr>
          <w:rFonts w:ascii="Arial" w:hAnsi="Arial" w:cs="Arial"/>
          <w:sz w:val="22"/>
          <w:szCs w:val="22"/>
        </w:rPr>
        <w:t xml:space="preserve"> nieruchomości </w:t>
      </w:r>
      <w:r w:rsidR="00E3409C" w:rsidRPr="002507F3">
        <w:rPr>
          <w:rFonts w:ascii="Arial" w:hAnsi="Arial" w:cs="Arial"/>
          <w:sz w:val="22"/>
          <w:szCs w:val="22"/>
        </w:rPr>
        <w:t xml:space="preserve">położonej </w:t>
      </w:r>
      <w:r w:rsidR="009C4C92" w:rsidRPr="002507F3">
        <w:rPr>
          <w:rFonts w:ascii="Arial" w:hAnsi="Arial" w:cs="Arial"/>
          <w:sz w:val="22"/>
          <w:szCs w:val="22"/>
        </w:rPr>
        <w:t>przy ulicy Warszawskiej 20A z drogą publiczną.</w:t>
      </w:r>
    </w:p>
    <w:p w:rsidR="00FB60DF" w:rsidRDefault="00FB60DF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2507F3" w:rsidRDefault="002507F3" w:rsidP="004F6949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2507F3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2507F3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2507F3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2507F3" w:rsidP="002507F3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aa. – ANR 325</w:t>
      </w:r>
    </w:p>
    <w:p w:rsidR="00B13C80" w:rsidRPr="00490021" w:rsidRDefault="00324710" w:rsidP="002507F3">
      <w:pPr>
        <w:spacing w:line="276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>oprac.: Sławomir Walke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2507F3">
        <w:rPr>
          <w:rFonts w:ascii="Arial" w:hAnsi="Arial" w:cs="Arial"/>
          <w:i/>
          <w:sz w:val="16"/>
          <w:szCs w:val="16"/>
        </w:rPr>
        <w:t>12.12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9C4C92">
        <w:rPr>
          <w:rFonts w:ascii="Arial" w:hAnsi="Arial" w:cs="Arial"/>
          <w:i/>
          <w:sz w:val="16"/>
          <w:szCs w:val="16"/>
        </w:rPr>
        <w:t>5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2507F3">
      <w:pPr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ED7F80">
        <w:rPr>
          <w:rFonts w:ascii="Arial" w:hAnsi="Arial" w:cs="Arial"/>
          <w:b/>
          <w:bCs/>
          <w:sz w:val="18"/>
          <w:szCs w:val="18"/>
        </w:rPr>
        <w:t>2554</w:t>
      </w:r>
      <w:r w:rsidR="002507F3">
        <w:rPr>
          <w:rFonts w:ascii="Arial" w:hAnsi="Arial" w:cs="Arial"/>
          <w:b/>
          <w:bCs/>
          <w:sz w:val="18"/>
          <w:szCs w:val="18"/>
        </w:rPr>
        <w:t>/12</w:t>
      </w:r>
      <w:r w:rsidR="0032783D">
        <w:rPr>
          <w:rFonts w:ascii="Arial" w:hAnsi="Arial" w:cs="Arial"/>
          <w:b/>
          <w:bCs/>
          <w:sz w:val="18"/>
          <w:szCs w:val="18"/>
        </w:rPr>
        <w:t>/202</w:t>
      </w:r>
      <w:r w:rsidR="009C4C92">
        <w:rPr>
          <w:rFonts w:ascii="Arial" w:hAnsi="Arial" w:cs="Arial"/>
          <w:b/>
          <w:bCs/>
          <w:sz w:val="18"/>
          <w:szCs w:val="18"/>
        </w:rPr>
        <w:t>5</w:t>
      </w:r>
    </w:p>
    <w:sectPr w:rsidR="00B13C80" w:rsidRPr="00490021" w:rsidSect="002507F3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7F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EA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AE9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73D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A7E65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94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220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5BD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2DA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58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27C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BE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74E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756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C9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16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5F7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09C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9B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AD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D7F80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DB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55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65D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335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swalke</cp:lastModifiedBy>
  <cp:revision>3</cp:revision>
  <cp:lastPrinted>2025-12-12T07:19:00Z</cp:lastPrinted>
  <dcterms:created xsi:type="dcterms:W3CDTF">2025-12-12T07:17:00Z</dcterms:created>
  <dcterms:modified xsi:type="dcterms:W3CDTF">2025-12-12T07:19:00Z</dcterms:modified>
</cp:coreProperties>
</file>