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E1CE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AE1CE6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AE1CE6">
      <w:pPr>
        <w:keepNext/>
        <w:spacing w:after="480" w:line="276" w:lineRule="auto"/>
        <w:jc w:val="center"/>
      </w:pPr>
      <w:r>
        <w:rPr>
          <w:b/>
        </w:rPr>
        <w:t>w sprawie uchwalenia miejscowego planu zagospodarowania przestrzennego Gminy Bytom – etap V – dla terenu położonego w rejonie ulicy Bażantowej</w:t>
      </w:r>
    </w:p>
    <w:p w:rsidR="00A77B3E" w:rsidRDefault="00AE1CE6">
      <w:pPr>
        <w:keepLines/>
        <w:spacing w:before="120" w:after="120" w:line="276" w:lineRule="auto"/>
        <w:ind w:firstLine="227"/>
      </w:pPr>
      <w:r>
        <w:t>Na podstawie art. </w:t>
      </w:r>
      <w:r>
        <w:t>18 ust. 2 pkt 5, art. 40 ust. 1 i art. 41 ust. 1 ustawy z dnia 8 marca 1990 r. o samorządzie gminnym (Dz. U. z 2025 r. poz. 1153) oraz art. 3 ust. 1, art. 20 ust. 1 ustawy z dnia 27 marca 2003 r. o planowaniu i zagospodarowaniu przestrzennym (Dz. U. z 2024</w:t>
      </w:r>
      <w:r>
        <w:t> r. poz. 1130, z późn. zm.) i art. 67 ust. 3 ustawy z dnia 7 lipca 2023 r. o zmianie ustawy o planowaniu i zagospodarowaniu przestrzennym oraz niektórych innych ustaw (Dz. U. z 2023 r. poz. 1688), w związku z uchwałą nr LXXII/915/22 Rady Miejskiej w Bytomi</w:t>
      </w:r>
      <w:r>
        <w:t xml:space="preserve">u z dnia 19 grudnia 2022 r. w sprawie przystąpienia do sporządzenia miejscowego planu zagospodarowania przestrzennego Gminy Bytom stwierdza się, że miejscowy plan zagospodarowania przestrzennego Gminy Bytom – etap V – dla terenu położonego w rejonie ulicy </w:t>
      </w:r>
      <w:r>
        <w:t>Bażantowej, nie narusza ustaleń „Studium uwarunkowań i kierunków zagospodarowania przestrzennego Gminy Bytom”, przyjętego uchwałą nr XVI/204/11 Rady Miejskiej w Bytomiu z dnia 24 sierpnia 2011 r., z późn. zm. i uchwala się, co następuje:</w:t>
      </w:r>
    </w:p>
    <w:p w:rsidR="00A77B3E" w:rsidRDefault="00AE1CE6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</w:t>
      </w:r>
      <w:r>
        <w:rPr>
          <w:b/>
        </w:rPr>
        <w:t>sy ogólne</w:t>
      </w:r>
    </w:p>
    <w:p w:rsidR="00A77B3E" w:rsidRDefault="00AE1CE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Na miejscowy plan zagospodarowania przestrzennego Gminy Bytom – etap V – dla terenu położonego w rejonie ulicy Bażantowej, zwany dalej „planem”, składają się ustalenia zawarte w treści niniejszej uchwały wraz z następującymi załącznikami:</w:t>
      </w:r>
    </w:p>
    <w:p w:rsidR="00A77B3E" w:rsidRDefault="00AE1CE6">
      <w:pPr>
        <w:spacing w:before="120" w:after="120" w:line="276" w:lineRule="auto"/>
        <w:ind w:left="340" w:hanging="227"/>
      </w:pPr>
      <w:r>
        <w:t>1)</w:t>
      </w:r>
      <w:r>
        <w:t> </w:t>
      </w:r>
      <w:r>
        <w:t>załącznik nr 1 – rysunek planu, stanowiący część graficzną ustaleń planu, wykonany na kopii mapy zasadniczej w skali 1:1000;</w:t>
      </w:r>
    </w:p>
    <w:p w:rsidR="00A77B3E" w:rsidRDefault="00AE1CE6">
      <w:pPr>
        <w:spacing w:before="120" w:after="120" w:line="276" w:lineRule="auto"/>
        <w:ind w:left="340" w:hanging="227"/>
      </w:pPr>
      <w:r>
        <w:t>2) </w:t>
      </w:r>
      <w:r>
        <w:t>załącznik nr 2 – rozstrzygnięcie o sposobie rozpatrzenia nieuwzględnionych uwag do projektu planu;</w:t>
      </w:r>
    </w:p>
    <w:p w:rsidR="00A77B3E" w:rsidRDefault="00AE1CE6">
      <w:pPr>
        <w:spacing w:before="120" w:after="120" w:line="276" w:lineRule="auto"/>
        <w:ind w:left="340" w:hanging="227"/>
      </w:pPr>
      <w:r>
        <w:t>3) </w:t>
      </w:r>
      <w:r>
        <w:t>załącznik nr 3 – rozstrzy</w:t>
      </w:r>
      <w:r>
        <w:t>gnięcie o sposobie realizacji, zapisanych w planie inwestycji z zakresu infrastruktury technicznej, które należą do zadań własnych gminy oraz zasadach ich finansowania, zgodnie z przepisami o finansach publicznych;</w:t>
      </w:r>
    </w:p>
    <w:p w:rsidR="00A77B3E" w:rsidRDefault="00AE1CE6">
      <w:pPr>
        <w:spacing w:before="120" w:after="120" w:line="276" w:lineRule="auto"/>
        <w:ind w:left="340" w:hanging="227"/>
      </w:pPr>
      <w:r>
        <w:t>4) </w:t>
      </w:r>
      <w:r>
        <w:t>załącznik nr 4 – dane przestrzenne dla</w:t>
      </w:r>
      <w:r>
        <w:t xml:space="preserve"> planu.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Plan obejmuje obszar położony w granicach określonych na rysunku planu.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Treść niniejszej uchwały zawarta jest w następujących rozdziałach: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Rozdział 1 – Przepisy ogólne;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Rozdział 2 – Zasady ochrony i kształtowania ładu </w:t>
      </w:r>
      <w:r>
        <w:rPr>
          <w:color w:val="000000"/>
          <w:u w:color="000000"/>
        </w:rPr>
        <w:t>przestrzennego;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Rozdział 3 – Zasady ochrony środowiska, przyrody i krajobrazu;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Rozdział 4 – Zasady kształtowania krajobrazu;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Rozdział 5 – Zasady ochrony dziedzictwa kulturowego i zabytków, w tym krajobrazów kulturowych oraz dóbr kultury współczesn</w:t>
      </w:r>
      <w:r>
        <w:rPr>
          <w:color w:val="000000"/>
          <w:u w:color="000000"/>
        </w:rPr>
        <w:t>ej;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Rozdział 6 – Wymagania wynikające z potrzeb kształtowania przestrzeni publicznych;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Rozdział 7 – Granice i sposoby zagospodarowania terenów lub obiektów podlegających ochronie, na podstawie odrębnych przepisów, terenów górniczych, a także obszarów</w:t>
      </w:r>
      <w:r>
        <w:rPr>
          <w:color w:val="000000"/>
          <w:u w:color="000000"/>
        </w:rPr>
        <w:t xml:space="preserve"> szczególnego zagrożenia powodzią, obszarów osuwania się mas ziemnych, krajobrazów priorytetowych określonych w audycie krajobrazowym oraz w planach zagospodarowania przestrzennego województwa;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Rozdział 8 – Szczegółowe zasady i warunki scalania i </w:t>
      </w:r>
      <w:r>
        <w:rPr>
          <w:color w:val="000000"/>
          <w:u w:color="000000"/>
        </w:rPr>
        <w:t>podziału nieruchomości objętych planem miejscowym, w tym parametry działek uzyskiwanych w wyniku scalania i podziału nieruchomości;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Rozdział 9 – Szczególne warunki zagospodarowania terenów oraz ograniczenia w ich użytkowaniu, w tym zakaz zabudowy;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R</w:t>
      </w:r>
      <w:r>
        <w:rPr>
          <w:color w:val="000000"/>
          <w:u w:color="000000"/>
        </w:rPr>
        <w:t>ozdział 10 – Zasady modernizacji, rozbudowy i budowy systemów komunikacji i infrastruktury technicznej;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Rozdział 11 – Sposób i termin tymczasowego zagospodarowania, urządzania i użytkowania terenów;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Rozdział 12 – Stawki procentowe, na podstawie któ</w:t>
      </w:r>
      <w:r>
        <w:rPr>
          <w:color w:val="000000"/>
          <w:u w:color="000000"/>
        </w:rPr>
        <w:t>rych ustala się opłatę, o której mowa w art. 36 ust. 4 ustawy o planowaniu i zagospodarowaniu przestrzennym;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Rozdział 13 – Ustalenia szczegółowe dla terenów o różnym przeznaczeniu lub różnych zasadach zagospodarowania;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Rozdział 14 – Przepisy końcow</w:t>
      </w:r>
      <w:r>
        <w:rPr>
          <w:color w:val="000000"/>
          <w:u w:color="000000"/>
        </w:rPr>
        <w:t>e.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Rysunek planu zawiera następujące oznaczenia będące ustaleniami planu: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obszaru objętego miejscowym planem zagospodarowania przestrzennego;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linie rozgraniczające tereny o różnym przeznaczeniu lub różnych zasadach zagospodarowania;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</w:t>
      </w:r>
      <w:r>
        <w:t>) </w:t>
      </w:r>
      <w:r>
        <w:rPr>
          <w:color w:val="000000"/>
          <w:u w:color="000000"/>
        </w:rPr>
        <w:t>symbole cyfrowo-literowe określające przeznaczenie terenów wyznaczonych liniami rozgraniczającymi: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MN – teren zabudowy mieszkaniowej jednorodzinnej,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KDD – teren drogi dojazdowej,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KP – teren komunikacji pieszo-rowerowej,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WS-ZN – teren wód powi</w:t>
      </w:r>
      <w:r>
        <w:rPr>
          <w:color w:val="000000"/>
          <w:u w:color="000000"/>
        </w:rPr>
        <w:t>erzchniowych śródlądowych lub zieleni naturalnej,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ZP – teren zieleni urządzonej;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nieprzekraczalne linie zabudowy;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 linie zabudowy oznaczone literą „e”;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strefa oddziaływania napowietrznej linii elektroenergetycznej 110 kV.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Rysunek planu zawiera następujące oznaczenia lub informacje wynikające z przepisów odrębnych: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granica udokumentowanego złoża węgla kamiennego „Bobrek-Miechowice” – numer systemowy 331;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granica udokumentowanego złoża węgla kamiennego „Centrum-Szombier</w:t>
      </w:r>
      <w:r>
        <w:rPr>
          <w:color w:val="000000"/>
          <w:u w:color="000000"/>
        </w:rPr>
        <w:t>ki” – numer systemowy 329;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granica  parku „Fazaniec” ujętego w rejestrze zabytków nieruchomych Województwa Śląskiego;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strefy w odległości 50,0 m, 150,0 m, 500,0 m od granicy istniejących cmentarzy;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granica terenów zamkniętych.</w:t>
      </w:r>
      <w:r>
        <w:rPr>
          <w:color w:val="000000"/>
          <w:u w:color="000000"/>
        </w:rPr>
        <w:tab/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Rysunek planu, </w:t>
      </w:r>
      <w:r>
        <w:rPr>
          <w:color w:val="000000"/>
          <w:u w:color="000000"/>
        </w:rPr>
        <w:t>poza treścią mapy zasadniczej, zawiera następujące informacje niebędące ustaleniami planu: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granice i numery działek ewidencyjnych;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orientacyjny zasięg płytkich wód gruntowych o głębokości do 1,0 m p.p.t.;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orientacyjny zasięg zakończonej płytkiej e</w:t>
      </w:r>
      <w:r>
        <w:rPr>
          <w:color w:val="000000"/>
          <w:u w:color="000000"/>
        </w:rPr>
        <w:t>ksploatacji górniczej węgla kamiennego;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napowietrzna linia elektroenergetyczna 110 kV;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wodociąg magistralny DN 630 PE.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Ilekroć w dalszych ustaleniach niniejszej uchwały jest mowa o: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dachu płaskim – należy przez to rozumieć dach o kącie nac</w:t>
      </w:r>
      <w:r>
        <w:rPr>
          <w:color w:val="000000"/>
          <w:u w:color="000000"/>
        </w:rPr>
        <w:t>hylenia połaci dachowych w stosunku do płaszczyzny poziomej nie większym niż 12°;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działce budowlanej – należy przez to rozumieć działkę, o której mowa w ustawie z dnia 27 marca 2003 r. o planowaniu i zagospodarowaniu przestrzennym;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elementach wyposaż</w:t>
      </w:r>
      <w:r>
        <w:rPr>
          <w:color w:val="000000"/>
          <w:u w:color="000000"/>
        </w:rPr>
        <w:t>enia miejskiego – należy przez to rozumieć elementy zagospodarowania takie jak: siedziska, ławki, zegary uliczne, latarnie, lampy oświetleniowe, stojaki rowerowe, pergole, barierki uliczne, słupki i ograniczniki parkowania na chodnikach, donice, słupy info</w:t>
      </w:r>
      <w:r>
        <w:rPr>
          <w:color w:val="000000"/>
          <w:u w:color="000000"/>
        </w:rPr>
        <w:t>rmacyjno-ogłoszeniowe wykorzystywane przez władze miasta do promocji miasta i informowania mieszkańców o ważnych dla miasta wydarzeniach oraz elementy Systemu Identyfikacji Miejskiej;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istniejącej zabudowie – należy przez to rozumieć zabudowę wzniesioną </w:t>
      </w:r>
      <w:r>
        <w:rPr>
          <w:color w:val="000000"/>
          <w:u w:color="000000"/>
        </w:rPr>
        <w:t>przed dniem wejścia w życie planu lub taką, dla której do dnia wejścia w życie planu została wydana prawomocna decyzja o pozwoleniu na budowę;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nieprzekraczalnej linii zabudowy – należy przez to rozumieć wyznaczoną na rysunku planu linię ograniczającą cz</w:t>
      </w:r>
      <w:r>
        <w:rPr>
          <w:color w:val="000000"/>
          <w:u w:color="000000"/>
        </w:rPr>
        <w:t>ęść terenu, w obrębie którego możliwe jest wznoszenie: nadziemnych części budynków, budowli nadziemnych spełniających funkcje użytkowe budynków, przy czym dopuszczalne jest wysunięcie poza wyznaczoną linię zabudowy, na odległość nie większą niż 1,3 m, elem</w:t>
      </w:r>
      <w:r>
        <w:rPr>
          <w:color w:val="000000"/>
          <w:u w:color="000000"/>
        </w:rPr>
        <w:t xml:space="preserve">entów nadwieszeń takich jak: nieobudowane balkony, daszki nad wejściami do budynków, gzymsy, wykusze i inne elementy wystroju architektonicznego elewacji, a także, jeśli ustalenia planu nie stanowią inaczej, elementy </w:t>
      </w:r>
      <w:r>
        <w:rPr>
          <w:color w:val="000000"/>
          <w:u w:color="000000"/>
        </w:rPr>
        <w:lastRenderedPageBreak/>
        <w:t>wejść do budynku oraz grubości docieple</w:t>
      </w:r>
      <w:r>
        <w:rPr>
          <w:color w:val="000000"/>
          <w:u w:color="000000"/>
        </w:rPr>
        <w:t>nia w przypadku istniejącego budynku; nieprzekraczalna linia zabudowy nie dotyczy podziemnych części budynków;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obszarze  – należy przez to rozumieć cały obszar objęty niniejszym planem;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parametrach i wskaźnikach zabudowy i zagospodarowania: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</w:t>
      </w:r>
      <w:r>
        <w:rPr>
          <w:color w:val="000000"/>
          <w:u w:color="000000"/>
        </w:rPr>
        <w:t>lnym wskaźniku powierzchni biologicznie czynnej – należy przez to rozumieć minimalny udział powierzchni biologicznie czynnej, o którym mowa w art. 2 pkt 29 ustawy z dnia 27 marca 2003 r. o planowaniu i zagospodarowaniu przestrzennym - chyba, że z ustaleń s</w:t>
      </w:r>
      <w:r>
        <w:rPr>
          <w:color w:val="000000"/>
          <w:u w:color="000000"/>
        </w:rPr>
        <w:t>zczegółowych planu wynika inaczej,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wskaźniku nadziemnej intensywności zabudowy – należy przez to rozumieć nadziemną intensywność zabudowy, o której mowa w art. 2 pkt 32 ustawy z dnia                    27 marca 2003 r. o planowaniu i zagospodarowaniu pr</w:t>
      </w:r>
      <w:r>
        <w:rPr>
          <w:color w:val="000000"/>
          <w:u w:color="000000"/>
        </w:rPr>
        <w:t>zestrzennym,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wskaźniku powierzchni zabudowy – należy przez to rozumieć udział powierzchni zabudowy, o którym mowa w art. 2 pkt 35 ustawy z dnia 27 marca 2003 r. o planowaniu i zagospodarowaniu przestrzennym,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wysokości zabudowy – należy przez to rozum</w:t>
      </w:r>
      <w:r>
        <w:rPr>
          <w:color w:val="000000"/>
          <w:u w:color="000000"/>
        </w:rPr>
        <w:t>ieć wysokość zabudowy, o której mowa w art. 2 pkt 30 ustawy z dnia 27 marca 2003 r. o planowaniu i zagospodarowaniu przestrzennym;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przepisach odrębnych lub przywołanych w ustaleniach planu ustawach i rozporządzeniach – należy przez to rozumieć </w:t>
      </w:r>
      <w:r>
        <w:rPr>
          <w:color w:val="000000"/>
          <w:u w:color="000000"/>
        </w:rPr>
        <w:t>odpowiednie, obowiązujące na dzień uchwalenia niniejszego planu, przepisy ustaw wraz z ich aktami wykonawczymi;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Systemie Identyfikacji Miejskiej – należy przez to rozumieć kompleksowo opracowany dla całego miasta lub dzielnicy system jednolitych stylist</w:t>
      </w:r>
      <w:r>
        <w:rPr>
          <w:color w:val="000000"/>
          <w:u w:color="000000"/>
        </w:rPr>
        <w:t>ycznie elementów informacyjnych ułatwiających orientację w przestrzeni miasta, składający się z elementów takich jak: tablice z nazwami ulic i ich nośniki, tablice kierujące do istotnych punktów miasta (np. muzea, szpitale, itp.), nośniki z planem miasta l</w:t>
      </w:r>
      <w:r>
        <w:rPr>
          <w:color w:val="000000"/>
          <w:u w:color="000000"/>
        </w:rPr>
        <w:t>ub dzielnicy, nośniki informacji o istotnych elementach krajobrazu miejskiego (tj. obiekcie, patronie drogi, itp.);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przeznaczeniu – należy przez to rozumieć ustalony planem przeważający sposób zagospodarowania i zabudowy powierzchni działki budowlanej </w:t>
      </w:r>
      <w:r>
        <w:rPr>
          <w:color w:val="000000"/>
          <w:u w:color="000000"/>
        </w:rPr>
        <w:t>w granicach terenu wyznaczonego liniami rozgraniczającymi;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przeznaczeniu uzupełniającym – należy przez to rozumieć ustalony planem uzupełniający przeznaczenie sposób zagospodarowania i zabudowy, którego udział wynosi nie więcej niż 49% powierzchni dzia</w:t>
      </w:r>
      <w:r>
        <w:rPr>
          <w:color w:val="000000"/>
          <w:u w:color="000000"/>
        </w:rPr>
        <w:t>łki budowlanej w granicach terenu wyznaczonego liniami rozgraniczającymi lub może być określony w ustaleniach szczegółowych;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przeznaczeniu wykluczonym – należy przez to rozumieć sposób zagospodarowania i zabudowy terenów, których realizacji zakazuje si</w:t>
      </w:r>
      <w:r>
        <w:rPr>
          <w:color w:val="000000"/>
          <w:u w:color="000000"/>
        </w:rPr>
        <w:t>ę w ramach ustalonego w planie rodzaju przeznaczenia lub przeznaczenia uzupełniającego;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 xml:space="preserve">terenie – należy przez to rozumieć fragment obszaru planu o ustalonym przeznaczeniu i zasadach zagospodarowania, wyznaczony na rysunku planu liniami </w:t>
      </w:r>
      <w:r>
        <w:rPr>
          <w:color w:val="000000"/>
          <w:u w:color="000000"/>
        </w:rPr>
        <w:t>rozgraniczającymi i oznaczony symbolem cyfrowo-literowym służącym identyfikacji ustaleń w tekście planu;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14) </w:t>
      </w:r>
      <w:r>
        <w:rPr>
          <w:color w:val="000000"/>
          <w:u w:color="000000"/>
        </w:rPr>
        <w:t>usługach nieuciążliwych dla zabudowy mieszkaniowej – należy przez to rozumieć działalność usługową obejmującą następujące podgrupy usług: biurowych</w:t>
      </w:r>
      <w:r>
        <w:rPr>
          <w:color w:val="000000"/>
          <w:u w:color="000000"/>
        </w:rPr>
        <w:t>, fryzjerskich i kosmetycznych, handlu detalicznego oraz gabinety lekarskie, terapeutyczne, zajęciowe;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zieleni izolacyjnej – należy przez to rozumieć roślinność o przeważającym składzie gatunków drzew i krzewów, których dojrzałe formy osiągają wysokość</w:t>
      </w:r>
      <w:r>
        <w:rPr>
          <w:color w:val="000000"/>
          <w:u w:color="000000"/>
        </w:rPr>
        <w:t xml:space="preserve"> nie mniejszą niż 2,0 m, ukształtowaną w taki sposób, aby spełniać funkcje całorocznej przesłony wizualnej i bariery akustycznej oraz bariery przed zanieczyszczeniami i hałasem;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zieleni urządzonej – należy przez to rozumieć ukształtowane w sposób zapla</w:t>
      </w:r>
      <w:r>
        <w:rPr>
          <w:color w:val="000000"/>
          <w:u w:color="000000"/>
        </w:rPr>
        <w:t>nowany zespoły roślinności składające się z drzew, krzewów i zieleni niskiej wraz z obiektami małej architektury, oczkami wodnymi, urządzeniami rekreacyjnymi oraz ciągami pieszymi i ścieżkami rowerowymi.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określenia użyte w uchwale należy rozum</w:t>
      </w:r>
      <w:r>
        <w:rPr>
          <w:color w:val="000000"/>
          <w:u w:color="000000"/>
        </w:rPr>
        <w:t>ieć zgodnie z definicjami określonymi w przepisach odrębnych.</w:t>
      </w:r>
    </w:p>
    <w:p w:rsidR="00A77B3E" w:rsidRDefault="00AE1CE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i kształtowania ładu przestrzennego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Zasady zagospodarowania terenów: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dopuszczenie na całym obszarze planu realizacji elementów zagospodarowania takich jak: inf</w:t>
      </w:r>
      <w:r>
        <w:rPr>
          <w:color w:val="000000"/>
          <w:u w:color="000000"/>
        </w:rPr>
        <w:t xml:space="preserve">rastruktura techniczna, urządzenia budowlane, urządzenia sportowo-rekreacyjne, dojazdy, ciągi piesze, pieszo-jezdne i ścieżki rowerowe, zieleń urządzona, zieleń izolacyjna, obiekty małej architektury, elementy Systemu Identyfikacji Miejskiej oraz elementy </w:t>
      </w:r>
      <w:r>
        <w:rPr>
          <w:color w:val="000000"/>
          <w:u w:color="000000"/>
        </w:rPr>
        <w:t>wyposażenia miejskiego, z zachowaniem pozostałych ustaleń planu oraz z uwzględnieniem przepisów odrębnych;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na całym obszarze planu realizacji inwestycji celu publicznego z zakresu łączności publicznej, z uwzględnieniem przepisów Rozdziału 1</w:t>
      </w:r>
      <w:r>
        <w:rPr>
          <w:color w:val="000000"/>
          <w:u w:color="000000"/>
        </w:rPr>
        <w:t>3;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na terenach komunikacji drogowej publicznej, o których mowa w § 18 realizacji inwestycji celu publicznego z zakresu infrastruktury technicznej, z uwzględnieniem przepisów Rozdziału 13;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dopuszczenie na całym obszarze planu sytuowania b</w:t>
      </w:r>
      <w:r>
        <w:rPr>
          <w:color w:val="000000"/>
          <w:u w:color="000000"/>
        </w:rPr>
        <w:t>udynków na działce budowlanej w odległości 1,5 m od granicy działki lub bezpośrednio przy tej granicy, z zachowaniem pozostałych ustaleń planu;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oznaczone na rysunku planu nieprzekraczalne linie zabudowy nie dotyczą związanych z infrastrukturą techniczną</w:t>
      </w:r>
      <w:r>
        <w:rPr>
          <w:color w:val="000000"/>
          <w:u w:color="000000"/>
        </w:rPr>
        <w:t xml:space="preserve"> i telekomunikacyjną: budynków, budowli, obiektów i urządzeń.</w:t>
      </w:r>
    </w:p>
    <w:p w:rsidR="00A77B3E" w:rsidRDefault="00AE1CE6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środowiska, przyrody i krajobrazu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W zakresie oddziaływania na środowisko: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zakaz realizacji przedsięwzięć stwarzających zagrożenie dla życia lub zdrowia </w:t>
      </w:r>
      <w:r>
        <w:rPr>
          <w:color w:val="000000"/>
          <w:u w:color="000000"/>
        </w:rPr>
        <w:t>ludzi, a w szczególności przedsięwzięć mogących spowodować ryzyko wystąpienia poważnych awarii;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realizacji przedsięwzięć mogących zawsze lub potencjalnie znacząco oddziaływać na środowisko, w rozumieniu przepisów rozporządzenia Rady Ministrów z dn</w:t>
      </w:r>
      <w:r>
        <w:rPr>
          <w:color w:val="000000"/>
          <w:u w:color="000000"/>
        </w:rPr>
        <w:t xml:space="preserve">ia </w:t>
      </w:r>
      <w:r>
        <w:rPr>
          <w:color w:val="000000"/>
          <w:u w:color="000000"/>
        </w:rPr>
        <w:lastRenderedPageBreak/>
        <w:t>10 września 2019 r. w sprawie przedsięwzięć mogących znacząco oddziaływać na środowisko z wyłączeniem przedsięwzięć związanych z realizacją i remontami: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dróg publicznych,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linii kolejowych,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infrastruktury technicznej,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inwestycji celu publiczn</w:t>
      </w:r>
      <w:r>
        <w:rPr>
          <w:color w:val="000000"/>
          <w:u w:color="000000"/>
        </w:rPr>
        <w:t>ego z zakresu łączności publicznej,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podziemnego wydobycia kopalin,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poszukiwania i rozpoznawania złóż kopalin;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zasięg oddziaływania na środowisko działalności prowadzonej na poszczególnych terenach nie może przekraczać granicy nieruchomości, do </w:t>
      </w:r>
      <w:r>
        <w:rPr>
          <w:color w:val="000000"/>
          <w:u w:color="000000"/>
        </w:rPr>
        <w:t>której prowadzący działalność posiada tytuł prawny.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ochrony przed hałasem: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wskazuje się tereny należące do poszczególnych rodzajów terenów, dla których określono dopuszczalne poziomy hałasu zgodnie z ustawą z dnia 27 kwietnia 2001 r. Prawo</w:t>
      </w:r>
      <w:r>
        <w:rPr>
          <w:color w:val="000000"/>
          <w:u w:color="000000"/>
        </w:rPr>
        <w:t xml:space="preserve"> ochrony środowiska: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tereny oznaczone symbolami: 1MN, 2MN, 3MN, 4MN</w:t>
      </w:r>
      <w:r>
        <w:rPr>
          <w:b/>
          <w:color w:val="000000"/>
          <w:u w:color="000000"/>
        </w:rPr>
        <w:t>,</w:t>
      </w:r>
      <w:r>
        <w:rPr>
          <w:color w:val="000000"/>
          <w:u w:color="000000"/>
        </w:rPr>
        <w:t xml:space="preserve"> na których obowiązują poziomy hałasu jak dla terenów przeznaczonych pod zabudowę mieszkaniową jednorodzinną,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tereny oznaczone symbolami: 1WS-ZN, 3ZP, 4ZP</w:t>
      </w:r>
      <w:r>
        <w:rPr>
          <w:b/>
          <w:color w:val="000000"/>
          <w:u w:color="000000"/>
        </w:rPr>
        <w:t>,</w:t>
      </w:r>
      <w:r>
        <w:rPr>
          <w:color w:val="000000"/>
          <w:u w:color="000000"/>
        </w:rPr>
        <w:t xml:space="preserve"> na których obowiązują pozi</w:t>
      </w:r>
      <w:r>
        <w:rPr>
          <w:color w:val="000000"/>
          <w:u w:color="000000"/>
        </w:rPr>
        <w:t>omy hałasu jak dla terenów przeznaczonych na cele rekreacyjno-wypoczynkowe;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stosowania zabezpieczeń akustycznych od ponadnormatywnego oddziaływania akustycznego od istniejących ciągów komunikacyjnych oraz przy realizacji nowej i przebudowie istnie</w:t>
      </w:r>
      <w:r>
        <w:rPr>
          <w:color w:val="000000"/>
          <w:u w:color="000000"/>
        </w:rPr>
        <w:t>jącej zabudowy wymagającej ochrony przed hałasem – zgodnie z rozporządzeniem Ministra Infrastruktury z dnia 12 kwietnia 2002 r. w sprawie warunków technicznych, jakim powinny odpowiadać budynki i ich usytuowanie.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ochrony przed promieniowaniem</w:t>
      </w:r>
      <w:r>
        <w:rPr>
          <w:color w:val="000000"/>
          <w:u w:color="000000"/>
        </w:rPr>
        <w:t xml:space="preserve"> elektromagnetycznym ustala się, że poziom pól elektromagnetycznych w środowisku nie może przekraczać dopuszczalnych wartości określonych w ustawie z dnia 27 kwietnia 2001 r. Prawo ochrony środowiska, przy czym: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dla terenów oznaczonych na rysunku planu </w:t>
      </w:r>
      <w:r>
        <w:rPr>
          <w:color w:val="000000"/>
          <w:u w:color="000000"/>
        </w:rPr>
        <w:t>symbolami: 1MN, 2MN, 3MN, 4MN obowiązują dopuszczalne poziomy pól elektromagnetycznych jak dla terenów przeznaczonych pod zabudowę mieszkaniową;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wszystkich pozostałych terenów w obszarze objętym planem obowiązują dopuszczalne poziomy pól elektromagn</w:t>
      </w:r>
      <w:r>
        <w:rPr>
          <w:color w:val="000000"/>
          <w:u w:color="000000"/>
        </w:rPr>
        <w:t>etycznych jak dla miejsc dostępnych dla ludności.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ochrony powietrza: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zapobiegania powstawaniu emisji i ograniczania wprowadzanych do powietrza substancji – zgodnie z ustawą z dnia 27 kwietnia 2001 r. Prawo ochrony środowiska;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</w:t>
      </w:r>
      <w:r>
        <w:rPr>
          <w:color w:val="000000"/>
          <w:u w:color="000000"/>
        </w:rPr>
        <w:t>z magazynowania na otwartej przestrzeni materiałów pylących.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W zakresie ochrony wód: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opóźniania spływu wód opadowych i roztopowych do odbiorników we własnym zakresie w obrębie działki;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zabezpieczenia drożności systemu odprowadzania wód</w:t>
      </w:r>
      <w:r>
        <w:rPr>
          <w:color w:val="000000"/>
          <w:u w:color="000000"/>
        </w:rPr>
        <w:t xml:space="preserve"> na obszarze planu;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realizacji obiektów w sposób niepowodujący zmiany stosunków wodnych na obszarze planu;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 realizacji inwestycji mogących prowadzić do zanieczyszczenia wód podziemnych i wód powierzchniowych.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postępowania z o</w:t>
      </w:r>
      <w:r>
        <w:rPr>
          <w:color w:val="000000"/>
          <w:u w:color="000000"/>
        </w:rPr>
        <w:t>dpadami: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realizacji miejsc do zbierania odpadów komunalnych przy zastosowaniu osłon oraz zabezpieczeń przed infiltracją wód opadowych;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zakaz wykorzystywania terenu objętego planem w celu prowadzenia działalności polegającej na zbieraniu i przet</w:t>
      </w:r>
      <w:r>
        <w:rPr>
          <w:color w:val="000000"/>
          <w:u w:color="000000"/>
        </w:rPr>
        <w:t>warzaniu odpadów, w tym surowców wtórnych, złomu i pojazdów wycofanych z eksploatacji, przy czym przez przetwarzanie odpadów należy rozumieć także składowanie odpadów.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ochrony powierzchni ziemi: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ochrony gleby przed degradacją lub zan</w:t>
      </w:r>
      <w:r>
        <w:rPr>
          <w:color w:val="000000"/>
          <w:u w:color="000000"/>
        </w:rPr>
        <w:t>ieczyszczeniem;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nakaz zagospodarowania zielenią urządzoną lub izolacyjną powierzchni niezabudowanych lub nieutwardzonych;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magazynowania surowców i materiałów bezpośrednio na powierzchni gruntu bez zabezpieczenia powierzchni przed infiltracją wó</w:t>
      </w:r>
      <w:r>
        <w:rPr>
          <w:color w:val="000000"/>
          <w:u w:color="000000"/>
        </w:rPr>
        <w:t>d opadowych.</w:t>
      </w:r>
    </w:p>
    <w:p w:rsidR="00A77B3E" w:rsidRDefault="00AE1CE6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kształtowania krajobrazu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Zakaz stosowania sidingu elewacyjnego do wykończenia elewacji budynków.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Zakaz stosowania na elewacji budynku kolorów jaskrawych lub fosforyzujących.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Nakaz stosowania ujednoliconej </w:t>
      </w:r>
      <w:r>
        <w:rPr>
          <w:color w:val="000000"/>
          <w:u w:color="000000"/>
        </w:rPr>
        <w:t>kolorystyki elewacji i ujednoliconej kolorystyki dachów w granicach działki budowlanej.</w:t>
      </w:r>
    </w:p>
    <w:p w:rsidR="00A77B3E" w:rsidRDefault="00AE1CE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ochrony dziedzictwa kulturowego i zabytków, w tym krajobrazów kulturowych oraz dóbr kultury współczesnej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Na obszarze planu nie ustala się zas</w:t>
      </w:r>
      <w:r>
        <w:rPr>
          <w:color w:val="000000"/>
          <w:u w:color="000000"/>
        </w:rPr>
        <w:t>ad ochrony dóbr kultury współczesnej oraz krajobrazów kulturowych.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obszarze planu występuje, oznaczona graficznie na rysunku planu, część północnego fragmentu Parku Fazaniec w Bytomiu wraz z doprowadzającą aleją topolową, wpisanego do rejestru zabytk</w:t>
      </w:r>
      <w:r>
        <w:rPr>
          <w:color w:val="000000"/>
          <w:u w:color="000000"/>
        </w:rPr>
        <w:t>ów nieruchomych Województwa Śląskiego decyzją numer A/854/2021 z dnia 26 lipca 2021 r.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Dla obiektu wpisanego do rejestru zabytków, o którym mowa w ust. 2 obowiązują przepisy ustawy z dnia 23 lipca 2003 r. o ochronie zabytków i opiece nad zabytkami.</w:t>
      </w:r>
    </w:p>
    <w:p w:rsidR="00A77B3E" w:rsidRDefault="00AE1CE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</w:t>
      </w:r>
      <w:r>
        <w:rPr>
          <w:b/>
        </w:rPr>
        <w:t>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Wymagania wynikające z potrzeb kształtowania przestrzeni publicznych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Na obszarze planu nie występują obszary przestrzeni publicznych w rozumieniu ustawy z dnia 27 marca 2003 r. o planowaniu i zagospodarowaniu przestrzennym, wobec czego nie </w:t>
      </w:r>
      <w:r>
        <w:rPr>
          <w:color w:val="000000"/>
          <w:u w:color="000000"/>
        </w:rPr>
        <w:t>formułuje się ustaleń dotyczących wymagań wynikających z potrzeb ich kształtowania.</w:t>
      </w:r>
    </w:p>
    <w:p w:rsidR="00A77B3E" w:rsidRDefault="00AE1CE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Granice i sposoby zagospodarowania terenów lub obiektów podlegających ochronie, na podstawie odrębnych przepisów, terenów górniczych, a także obszarów szczególn</w:t>
      </w:r>
      <w:r>
        <w:rPr>
          <w:b/>
          <w:color w:val="000000"/>
          <w:u w:color="000000"/>
        </w:rPr>
        <w:t>ego zagrożenia powodzią, obszarów osuwania się mas ziemnych, krajobrazów priorytetowych określonych w audycie krajobrazowym oraz w planach zagospodarowania przestrzennego województwa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Na obszarze planu występują następujące udokumentowane złoża kop</w:t>
      </w:r>
      <w:r>
        <w:rPr>
          <w:color w:val="000000"/>
          <w:u w:color="000000"/>
        </w:rPr>
        <w:t>alin: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złoże węgla kamiennego „Bobrek-Miechowice” – numer systemowy 331;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złoże węgla kamiennego „Centrum-Szombierki” – numer systemowy 329.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obszarze planu nie występują tereny i obszary górnicze.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Sposób zagospodarowania terenów, o których mow</w:t>
      </w:r>
      <w:r>
        <w:rPr>
          <w:color w:val="000000"/>
          <w:u w:color="000000"/>
        </w:rPr>
        <w:t>a w ust. 1 – zgodnie z ustaleniami zawartymi w niniejszej uchwale.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 części obszaru objętego planem, zgodnie z informacjami archiwalnymi, prowadzona była płytka eksploatacja górnicza węgla kamiennego, której orientacyjny zasięg na rysunku planu oznaczo</w:t>
      </w:r>
      <w:r>
        <w:rPr>
          <w:color w:val="000000"/>
          <w:u w:color="000000"/>
        </w:rPr>
        <w:t>no w celach informacyjnych.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 części obszaru objętego planem występują płytkie wody gruntowe o głębokości do 1,0 m p.p.t., których orientacyjny zasięg wskazano na rysunku planu.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Na obszarze planu nie występują obszary szczególnego zagrożenia powodzi</w:t>
      </w:r>
      <w:r>
        <w:rPr>
          <w:color w:val="000000"/>
          <w:u w:color="000000"/>
        </w:rPr>
        <w:t>ą, obszary osuwania się mas ziemnych oraz krajobrazy priorytetowe, wobec czego nie formułuje się ustaleń dotyczących: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obszarów szczególnego zagrożenia powodzią;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 obszarów osuwania s</w:t>
      </w:r>
      <w:r>
        <w:rPr>
          <w:color w:val="000000"/>
          <w:u w:color="000000"/>
        </w:rPr>
        <w:t>ię mas ziemnych;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 i sposobów zagospodarowania krajobrazów priorytetowych.</w:t>
      </w:r>
    </w:p>
    <w:p w:rsidR="00A77B3E" w:rsidRDefault="00AE1CE6">
      <w:pPr>
        <w:keepNext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Szczegółowe zasady i warunki scalania i podziału nieruchomości objętych planem miejscowym, w tym parametry działek uzyskiwanych w wyniku scalania i podziału nier</w:t>
      </w:r>
      <w:r>
        <w:rPr>
          <w:b/>
          <w:color w:val="000000"/>
          <w:u w:color="000000"/>
        </w:rPr>
        <w:t>uchomości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 xml:space="preserve">Ustala się następujące parametry działek uzyskiwanych w wyniku scalania i podziału nieruchomości: 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minimalna szerokość frontów działek: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8,0 m – dla terenów o symbolach: 1MN, 2 MN, 3MN, 4MN,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5,0 m – dla pozostałych terenów;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minimalna powierzchnia działek: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250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–  dla terenów o symbolach: 1MN, 2MN, 3MN, 4MN,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– dla pozostałych terenów;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kąt położenia granic działek w stosunku do pasa drogowego: 90° z dopuszczeniem odchylenia o 10°.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Określone w ust. 1 paramet</w:t>
      </w:r>
      <w:r>
        <w:rPr>
          <w:color w:val="000000"/>
          <w:u w:color="000000"/>
        </w:rPr>
        <w:t>ry działek nie dotyczą wydzielania działek pod infrastrukturę techniczną.</w:t>
      </w:r>
    </w:p>
    <w:p w:rsidR="00A77B3E" w:rsidRDefault="00AE1CE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Szczególne warunki zagospodarowania terenów oraz ograniczenia w ich użytkowaniu, w tym zakaz zabudowy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Dla istniejącej zabudowy na działkach budowlanych, na który</w:t>
      </w:r>
      <w:r>
        <w:rPr>
          <w:color w:val="000000"/>
          <w:u w:color="000000"/>
        </w:rPr>
        <w:t>ch w momencie wejścia w życie planu przekroczone zostały zasady ustalone w niniejszym planie, w tym przeznaczenie oraz parametry i wskaźniki zabudowy lub zagospodarowania terenu ustala się zakaz rozbudowy, która powodowałaby dalsze przekroczenie zasad, par</w:t>
      </w:r>
      <w:r>
        <w:rPr>
          <w:color w:val="000000"/>
          <w:u w:color="000000"/>
        </w:rPr>
        <w:t>ametrów i wskaźników zabudowy lub zagospodarowania terenu, za wyjątkiem rozbudowy o elementy takie jak: wejścia do budynku, dostosowanie wejść dla potrzeb osób niepełnosprawnych, zadaszenia wejść oraz docieplenia budynku.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Dla wykraczających poza linie z</w:t>
      </w:r>
      <w:r>
        <w:rPr>
          <w:color w:val="000000"/>
          <w:u w:color="000000"/>
        </w:rPr>
        <w:t>abudowy fragmentów budynków istniejących w dniu wejścia w życie planu, dopuszcza się przebudowy, remonty i zmiany sposobu użytkowania przy zachowaniu pozostałych ustaleń planu.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Dla terenów zabudowy położonych w strefie – w odległości 50,0 m od granicy i</w:t>
      </w:r>
      <w:r>
        <w:rPr>
          <w:color w:val="000000"/>
          <w:u w:color="000000"/>
        </w:rPr>
        <w:t>stniejącego cmentarza – oznaczonej graficznie na rysunku planu, zakazuje się lokalizacji: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nowej zabudowy mieszkaniowej;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zakładów produkcji żywności;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zakładów żywienia zbiorowego;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studni służących do czerpania wody do picia i potrzeb gospodarczy</w:t>
      </w:r>
      <w:r>
        <w:rPr>
          <w:color w:val="000000"/>
          <w:u w:color="000000"/>
        </w:rPr>
        <w:t>ch;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zakładów przechowujących artykuły żywności.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Dla terenów zabudowy położonych w odległości pomiędzy strefą – w odległości 50,0 m od granicy istniejącego cmentarza do strefy w odległości 150,0 m od granicy istniejącego cmentarza – oznaczonej </w:t>
      </w:r>
      <w:r>
        <w:rPr>
          <w:color w:val="000000"/>
          <w:u w:color="000000"/>
        </w:rPr>
        <w:t>graficznie na rysunku planu, dopuszcza się lokalizację budynków, z zastrzeżeniem podłączenia ich do sieci wodociągowej.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Dla terenów położonych na obszarze niniejszego planu w strefie – w odległości 500,0 m od granicy istniejącego cmentarza – oznaczonej </w:t>
      </w:r>
      <w:r>
        <w:rPr>
          <w:color w:val="000000"/>
          <w:u w:color="000000"/>
        </w:rPr>
        <w:t>graficznie na rysunku planu, zakazuje się lokalizowania ujęć wody o charakterze zbiorników wodnych, służących jako źródło zaopatrzenia sieci wodociągowej w wodę do picia i potrzeb gospodarczych.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Zakaz lokalizacji urządzeń wytwarzających energię z odnawi</w:t>
      </w:r>
      <w:r>
        <w:rPr>
          <w:color w:val="000000"/>
          <w:u w:color="000000"/>
        </w:rPr>
        <w:t>alnych źródeł energii, wykorzystujących energię wiatru, za wyjątkiem mikroinstalacji w rozumieniu ustawy z dnia 20 lutego 2015 r. o odnawialnych źródłach energii.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7. </w:t>
      </w:r>
      <w:r>
        <w:rPr>
          <w:color w:val="000000"/>
          <w:u w:color="000000"/>
        </w:rPr>
        <w:t>Zakaz lokalizacji instalacji fotowoltaicznych, w tym ich urządzeń, za wyjątkiem instalacji</w:t>
      </w:r>
      <w:r>
        <w:rPr>
          <w:color w:val="000000"/>
          <w:u w:color="000000"/>
        </w:rPr>
        <w:t xml:space="preserve"> fotowoltaicznych, w tym ich urządzeń, służących wyłącznie zaspokajaniu potrzeb zabudowy zlokalizowanej na tej samej działce budowlanej.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Zakaz lokalizacji tymczasowych obiektów budowlanych na terenach o symbolach: 1MN, 2MN, 3MN, 4MN.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Zagospodarowanie</w:t>
      </w:r>
      <w:r>
        <w:rPr>
          <w:color w:val="000000"/>
          <w:u w:color="000000"/>
        </w:rPr>
        <w:t xml:space="preserve"> terenów w obszarze bezpośredniego sąsiedztwa linii kolejowych zgodnie z ustawą z dnia 28 marca 2003 r. o transporcie kolejowym oraz rozporządzeniem Ministra Infrastruktury z dnia 7 sierpnia 2008 r. w sprawie wymagań w zakresie odległości i warunków dopusz</w:t>
      </w:r>
      <w:r>
        <w:rPr>
          <w:color w:val="000000"/>
          <w:u w:color="000000"/>
        </w:rPr>
        <w:t>czających usytuowanie drzew i krzewów, elementów ochrony akustycznej i wykonywania robót ziemnych w sąsiedztwie linii kolejowej, a także sposobu urządzania i utrzymania zasłon odśnieżnych oraz pasów przeciwpożarowych.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Ustala się maksymalną wysokość </w:t>
      </w:r>
      <w:r>
        <w:rPr>
          <w:color w:val="000000"/>
          <w:u w:color="000000"/>
        </w:rPr>
        <w:t>obiektów budowlanych takich jak: garaże, oranżerie, budynki gospodarcze, wiaty, obiekty małej architektury, odpowiadającą wysokości budynków dla poszczególnych terenów oraz przy uwzględnieniu ustaleń szczegółowych.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W obrębie strefy oddziaływania napowi</w:t>
      </w:r>
      <w:r>
        <w:rPr>
          <w:color w:val="000000"/>
          <w:u w:color="000000"/>
        </w:rPr>
        <w:t>etrznej linii elektroenergetycznej 110 kV oznaczonej graficznie na rysunku planu ustala się zakaz: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lokalizacji pomieszczeń przeznaczonych na stały pobyt ludzi oraz realizacji obiektów i urządzeń związanych ze stałym lub czasowym pobytem dzieci i młodzie</w:t>
      </w:r>
      <w:r>
        <w:rPr>
          <w:color w:val="000000"/>
          <w:u w:color="000000"/>
        </w:rPr>
        <w:t>ży na terenach oznaczonych na rysunku planu symbolami: 2MN, 3MN, 4MN;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realizacji obiektów i urządzeń związanych ze stałym lub czasowym pobytem dzieci i młodzieży na terenach oznaczonych na rysunku planu symbolami: 3ZP i 4ZP.</w:t>
      </w:r>
    </w:p>
    <w:p w:rsidR="00A77B3E" w:rsidRDefault="00AE1CE6">
      <w:pPr>
        <w:keepNext/>
        <w:jc w:val="center"/>
        <w:rPr>
          <w:color w:val="000000"/>
          <w:u w:color="000000"/>
        </w:rPr>
      </w:pPr>
      <w:r>
        <w:rPr>
          <w:b/>
        </w:rPr>
        <w:t>Rozdział 10.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moderniz</w:t>
      </w:r>
      <w:r>
        <w:rPr>
          <w:b/>
          <w:color w:val="000000"/>
          <w:u w:color="000000"/>
        </w:rPr>
        <w:t>acji, rozbudowy i budowy systemów komunikacji i infrastruktury technicznej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>Ustala się obsługę komunikacyjną terenów z istniejącego oraz projektowanego układu drogowego.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Powiązania z zewnętrznym układem drogowo-ulicznym zapewnia się poprzez istn</w:t>
      </w:r>
      <w:r>
        <w:rPr>
          <w:color w:val="000000"/>
          <w:u w:color="000000"/>
        </w:rPr>
        <w:t>iejące ulice: Orzegowską i Zabrzańską.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oraz klasyfikację dróg publicznych i ciągów pieszo-rowerowych – zgodnie z warunkami zawartymi w § 18 i § 19 niniejszej uchwały.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obsługi parkingowej na obszarze objętym planem usta</w:t>
      </w:r>
      <w:r>
        <w:rPr>
          <w:color w:val="000000"/>
          <w:u w:color="000000"/>
        </w:rPr>
        <w:t>la się: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nakaz zapewnienia miejsc parkingowych w granicach działki budowlanej w ilości dostosowanej do rodzaju zabudowy i skali prowadzonej działalności, przy czym ustala się następującą minimalną liczbę miejsc do parkowania: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</w:t>
      </w:r>
      <w:r>
        <w:rPr>
          <w:color w:val="000000"/>
          <w:u w:color="000000"/>
        </w:rPr>
        <w:t>j jednorodzinnej – 2 miejsca parkingowe na jeden lokal mieszkalny,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lokali handlowych – 1 miejsce parkingowe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dla innych, niewymienionych wyżej działalności – 1 miejsce parkingowe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podstawowej lub 1 miejsce na 10 użytkowników;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pojazdów zaopatrzonych w kartę parkingową: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1 stanowisko, jeżeli liczba miejsc parkingowych wynosi 6 ÷ 15,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 stanowiska, jeżeli liczba miejsc parkingowych wynosi 16 ÷ 40,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3</w:t>
      </w:r>
      <w:r>
        <w:rPr>
          <w:color w:val="000000"/>
          <w:u w:color="000000"/>
        </w:rPr>
        <w:t xml:space="preserve"> stanowiska, jeżeli liczba miejsc parkingowych wynosi 41 ÷ 100,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4% ogólnej liczby stanowisk, jeżeli ogólna liczba stanowisk wynosi więcej niż 100;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 wliczania powierzchni miejsc parkingowych, o których mowa w pkt 1 i 2 w powierzchnię biologicznie</w:t>
      </w:r>
      <w:r>
        <w:rPr>
          <w:color w:val="000000"/>
          <w:u w:color="000000"/>
        </w:rPr>
        <w:t xml:space="preserve"> czynną działki budowlanej.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Realizacja sieci infrastruktury technicznej: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liniach rozgraniczających dróg publicznych, ciągów komunikacji pieszo-rowerowej;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przypadku braku możliwości przeprowadzenia sieci zgodnie z pkt 1, dopuszcza się ich</w:t>
      </w:r>
      <w:r>
        <w:rPr>
          <w:color w:val="000000"/>
          <w:u w:color="000000"/>
        </w:rPr>
        <w:t xml:space="preserve"> realizację: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pomiędzy linią rozgraniczającą teren, a wyznaczoną linią zabudowy,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wzdłuż granic nieruchomości lub w ich bezpośrednim sąsiedztwie;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dopuszczenie realizacji sieci infrastruktury technicznej w sposób inny niż określony w pkt 1 i 2, </w:t>
      </w:r>
      <w:r>
        <w:rPr>
          <w:color w:val="000000"/>
          <w:u w:color="000000"/>
        </w:rPr>
        <w:t>jeżeli nie spowoduje to ograniczenia ustalonego planem przeznaczenia terenu.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 rozbudowę, przebudowę oraz zmianę przebiegu sieci i urządzeń infrastruktury technicznej zlokalizowanych w obszarze objętym planem, z zastrzeżeniem ust. 1, a w prz</w:t>
      </w:r>
      <w:r>
        <w:rPr>
          <w:color w:val="000000"/>
          <w:u w:color="000000"/>
        </w:rPr>
        <w:t>ypadku realizacji ich nowego przebiegu – dopuszczenie likwidacji dotychczasowych odcinków sieci lub urządzeń infrastruktury technicznej.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zaopatrzenia w wodę: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zaopatrzenie z miejskiej sieci wodociągowej;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sukcesywna rozbudowa sieci wodoci</w:t>
      </w:r>
      <w:r>
        <w:rPr>
          <w:color w:val="000000"/>
          <w:u w:color="000000"/>
        </w:rPr>
        <w:t>ągowej dla pokrycia potrzeb bytowych, użytkowych i przeciwpożarowych;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zapewnienia właściwego standardu zasilania w wodę dla ochrony przeciwpożarowej.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zakresie odprowadzania ścieków sanitarnych oraz wód deszczowych: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odprowadzanie ścieków sa</w:t>
      </w:r>
      <w:r>
        <w:rPr>
          <w:color w:val="000000"/>
          <w:u w:color="000000"/>
        </w:rPr>
        <w:t>nitarnych do kanalizacji miejskiej, z zastrzeżeniem pkt 2 i 3;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dopuszczenie, do czasu realizacji kanalizacji sanitarnej, odprowadzenia ścieków sanitarnych zgodnie z przepisami ustawy z dnia 13 września 1996 r. o utrzymaniu czystości i porządku w </w:t>
      </w:r>
      <w:r>
        <w:rPr>
          <w:color w:val="000000"/>
          <w:u w:color="000000"/>
        </w:rPr>
        <w:t>gminach;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dopuszczenie odprowadzania wód opadowych i roztopowych zgodnie z ustawą z dnia 20 lipca 2017 r. Prawo wodne;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sukcesywna budowa rozdzielczej sieci kanalizacji sanitarnej.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W zakresie zaopatrzenia w ciepło: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ciepła z miejskiej siec</w:t>
      </w:r>
      <w:r>
        <w:rPr>
          <w:color w:val="000000"/>
          <w:u w:color="000000"/>
        </w:rPr>
        <w:t>i ciepłowniczej zdalaczynnej, z zastrzeżeniem pkt 2;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indywidualnych systemów grzewczych, w tym wykorzystujących odnawialne źródła energii.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 zakresie zaopatrzenia w gaz: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zasilanie w gaz ziemny w oparciu o istniejącą i projektowaną sie</w:t>
      </w:r>
      <w:r>
        <w:rPr>
          <w:color w:val="000000"/>
          <w:u w:color="000000"/>
        </w:rPr>
        <w:t>ć gazową;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zaopatrzenia w gaz z indywidualnych zbiorników gazu.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zakresie zaopatrzenia w energię elektryczną: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dostawa energii elektrycznej w oparciu o istniejącą i projektowaną sieć elektroenergetyczną;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dopuszczenie stosowania indy</w:t>
      </w:r>
      <w:r>
        <w:rPr>
          <w:color w:val="000000"/>
          <w:u w:color="000000"/>
        </w:rPr>
        <w:t>widualnych urządzeń prądotwórczych wykorzystujących odnawialne źródła energii, z zastrzeżeniem § 12 ust. 6 i 7.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zakresie telekomunikacji: rozbudowa sieci telekomunikacyjnej, budowa nowych urządzeń i sieci telekomunikacyjnych w celu zaspokojenia potrze</w:t>
      </w:r>
      <w:r>
        <w:rPr>
          <w:color w:val="000000"/>
          <w:u w:color="000000"/>
        </w:rPr>
        <w:t>b w tym zakresie.</w:t>
      </w:r>
    </w:p>
    <w:p w:rsidR="00A77B3E" w:rsidRDefault="00AE1CE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Sposób i termin tymczasowego zagospodarowania, urządzania i użytkowania terenów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Nie ustala się sposobu i terminu tymczasowego zagospodarowania, urządzania i użytkowania terenów objętych planem.</w:t>
      </w:r>
    </w:p>
    <w:p w:rsidR="00A77B3E" w:rsidRDefault="00AE1CE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12.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Stawki </w:t>
      </w:r>
      <w:r>
        <w:rPr>
          <w:b/>
          <w:color w:val="000000"/>
          <w:u w:color="000000"/>
        </w:rPr>
        <w:t>procentowe, na podstawie których ustala się opłatę, o której mowa w art. 36 ust. 4 ustawy o planowaniu i zagospodarowaniu przestrzennym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Dla terenów objętych planem określa się stawkę procentową, na podstawie której ustala się opłatę, o której mowa w </w:t>
      </w:r>
      <w:r>
        <w:rPr>
          <w:color w:val="000000"/>
          <w:u w:color="000000"/>
        </w:rPr>
        <w:t>art. 36 ust. 4 ustawy z dnia 27 marca 2003 r. o planowaniu i zagospodarowaniu przestrzennym, w wysokości: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terenu 1MN: 20% (słownie: dwadzieścia procent);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pozostałych terenów: 30% (słownie: trzydzieści procent).</w:t>
      </w:r>
    </w:p>
    <w:p w:rsidR="00A77B3E" w:rsidRDefault="00AE1CE6">
      <w:pPr>
        <w:keepNext/>
        <w:jc w:val="center"/>
        <w:rPr>
          <w:color w:val="000000"/>
          <w:u w:color="000000"/>
        </w:rPr>
      </w:pPr>
      <w:r>
        <w:rPr>
          <w:b/>
        </w:rPr>
        <w:t>Rozdział 13.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Ustalenia </w:t>
      </w:r>
      <w:r>
        <w:rPr>
          <w:b/>
          <w:color w:val="000000"/>
          <w:u w:color="000000"/>
        </w:rPr>
        <w:t>szczegółowe dla terenów o różnym przeznaczeniu lub różnych zasadach zagospodarowania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 xml:space="preserve">Dla terenów oznaczonych na rysunku planu symbolami: 1MN, 2MN, 3MN, 4MN – tereny zabudowy mieszkaniowej jednorodzinnej ustala się: 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zabudow</w:t>
      </w:r>
      <w:r>
        <w:rPr>
          <w:color w:val="000000"/>
          <w:u w:color="000000"/>
        </w:rPr>
        <w:t>y mieszkaniowej jednorodzinnej;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garażu,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parkingu.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dopuszcza się usługi z zakresu usług nieuciążl</w:t>
      </w:r>
      <w:r>
        <w:rPr>
          <w:color w:val="000000"/>
          <w:u w:color="000000"/>
        </w:rPr>
        <w:t>iwych dla zabudowy mieszkaniowej;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usługi mogą być realizowane wyłącznie jako wbudowane w budynek mieszkalny;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zabudowa garażowa może być realizowana wyłącznie jako towarzysząca zabudowie mieszkaniowej, usytuowana na tej samej działce budowlanej.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</w:t>
      </w:r>
      <w:r>
        <w:rPr>
          <w:color w:val="000000"/>
          <w:u w:color="000000"/>
        </w:rPr>
        <w:t>tala się parametry i wskaźniki kształtowania zabudowy oraz zagospodarowania terenów, o których mowa w ust. 1: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wskaźnik powierzchni biologicznie czynnej: 30%;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minimalny i maksymalny wskaźnik nadziemnej intensywności zabudowy: od 0,001 do 2,0</w:t>
      </w:r>
      <w:r>
        <w:rPr>
          <w:color w:val="000000"/>
          <w:u w:color="000000"/>
        </w:rPr>
        <w:t>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maksymalny wskaźnik powierzchni zabudowy: 50%;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wysokość zabudowy: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b, c, d,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wysokość obiektów budowlanych, garaży, budynków gospodarczych realizowanych na części terenu położ</w:t>
      </w:r>
      <w:r>
        <w:rPr>
          <w:color w:val="000000"/>
          <w:u w:color="000000"/>
        </w:rPr>
        <w:t>onej poza nieprzekraczalnymi liniami zabudowy oznaczonymi literą „e”: 3,0 m,  z zastrzeżeniem lit. d,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maksymalna wysokość budynków: 12,0 m,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budowli infrastruktury przesyłowej sieci elektroenergetycznej: 40,0 m;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nieprzekraczalna</w:t>
      </w:r>
      <w:r>
        <w:rPr>
          <w:color w:val="000000"/>
          <w:u w:color="000000"/>
        </w:rPr>
        <w:t xml:space="preserve"> linia zabudowy – zgodnie z rysunkiem planu;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obszarze poza nieprzekraczalnymi liniami zabudowy oznaczonymi literą „e” dopuszcza się lokalizowanie garaży i budynków gospodarczych;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dachy: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płaskie,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spadowe, kąt nachylenia połaci dachowych do 45</w:t>
      </w:r>
      <w:r>
        <w:rPr>
          <w:color w:val="000000"/>
          <w:u w:color="000000"/>
          <w:vertAlign w:val="superscript"/>
        </w:rPr>
        <w:t>0</w:t>
      </w:r>
      <w:r>
        <w:rPr>
          <w:color w:val="000000"/>
          <w:u w:color="000000"/>
        </w:rPr>
        <w:t>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t>1. </w:t>
      </w:r>
      <w:r>
        <w:rPr>
          <w:color w:val="000000"/>
          <w:u w:color="000000"/>
        </w:rPr>
        <w:t xml:space="preserve">Dla terenu oznaczonego na rysunku planu symbolem 1KDD ustala się przeznaczenie: teren drogi dojazdowej. 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 od 9,6 m do 16,2 m – z lokalnymi poszerzeniami w obrębie skrzyżowań, zgodnie z rysunkiem</w:t>
      </w:r>
      <w:r>
        <w:rPr>
          <w:color w:val="000000"/>
          <w:u w:color="000000"/>
        </w:rPr>
        <w:t xml:space="preserve"> planu.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Dla terenu oznaczonego na rysunku planu symbolem 1KP ustala się przeznaczenie: teren komunikacji pieszo-rowerowej.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szerokość w liniach rozgraniczających od 9,7 m do 11,2 m, zgodnie z rysunkiem planu.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t>1. </w:t>
      </w:r>
      <w:r>
        <w:rPr>
          <w:color w:val="000000"/>
          <w:u w:color="000000"/>
        </w:rPr>
        <w:t>Dla terenu oznac</w:t>
      </w:r>
      <w:r>
        <w:rPr>
          <w:color w:val="000000"/>
          <w:u w:color="000000"/>
        </w:rPr>
        <w:t>zonego na rysunku planu symbolem 1WS-ZN – teren wód powierzchniowych śródlądowych lub zieleni naturalnej ustala się: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wód powierzchniowych śródlądowych,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teren zieleni naturalnej;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 teren zieleni ur</w:t>
      </w:r>
      <w:r>
        <w:rPr>
          <w:color w:val="000000"/>
          <w:u w:color="000000"/>
        </w:rPr>
        <w:t>ządzonej.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terenu, o którym mowa w ust. 1: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zakaz realizacji budynków;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ramach przeznaczenia dopuszcza się realizację urządzeń wodnych.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parametry i wskaźniki kształ</w:t>
      </w:r>
      <w:r>
        <w:rPr>
          <w:color w:val="000000"/>
          <w:u w:color="000000"/>
        </w:rPr>
        <w:t>towania zabudowy oraz zagospodarowania terenu, o którym mowa w ust. 1: maksymalna wysokość budowli: 16,0 m.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color w:val="000000"/>
          <w:u w:color="000000"/>
        </w:rPr>
        <w:t>Dla terenów oznaczonych na rysunku planu symbolami: 1ZP, 2ZP, 3ZP, 4ZP – tereny zieleni urządzonej ustala się: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 teren ziel</w:t>
      </w:r>
      <w:r>
        <w:rPr>
          <w:color w:val="000000"/>
          <w:u w:color="000000"/>
        </w:rPr>
        <w:t>eni urządzonej;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uzupełniające: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parkingu,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zieleni naturalnej.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warunki i zasady kształtowania zabudowy i zagospodarowania terenów, o których mowa w ust. 1: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parking może być realizowany wyłącznie w formie </w:t>
      </w:r>
      <w:r>
        <w:rPr>
          <w:color w:val="000000"/>
          <w:u w:color="000000"/>
        </w:rPr>
        <w:t>parkingu terenowego;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udział przeznaczenia uzupełniającego – parkingi terenowe: nie więcej niż 20% powierzchni terenu, o którym mowa w ust. 1;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nakaz zachowania istniejącej zieleni wysokiej z zastrzeżeniem pkt 4;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dopuszcza się usunięcie drzew: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nikające ze stanu zdrowotnego i bezpieczeństwa ludzi,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kolidujących z lokalizacją infrastruktury technicznej, pod warunkiem wprowadzenia nowych nasadzeń zastępczych na tym terenie;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zakaz realizacji: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budynków,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placów zabaw.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parametr</w:t>
      </w:r>
      <w:r>
        <w:rPr>
          <w:color w:val="000000"/>
          <w:u w:color="000000"/>
        </w:rPr>
        <w:t>y i wskaźniki kształtowania zabudowy oraz zagospodarowania terenów, o których mowa w ust. 1: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minimalny udział powierzchni biologicznie czynnej: 80%;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wysokość zabudowy: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maksymalna wysokość budowli: 16,0 m, z zastrzeżeniem lit. b,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wyso</w:t>
      </w:r>
      <w:r>
        <w:rPr>
          <w:color w:val="000000"/>
          <w:u w:color="000000"/>
        </w:rPr>
        <w:t>kość budowli infrastruktury przesyłowej sieci elektroenergetycznej: 40,0 m.</w:t>
      </w:r>
    </w:p>
    <w:p w:rsidR="00A77B3E" w:rsidRDefault="00AE1CE6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14.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23. </w:t>
      </w:r>
      <w:r>
        <w:rPr>
          <w:color w:val="000000"/>
          <w:u w:color="000000"/>
        </w:rPr>
        <w:t>Uchwała wchodzi w życie po upływie 30 dni od dnia jej ogłoszenia w Dzienniku Urzędowym Województwa Śląskiego.</w:t>
      </w:r>
    </w:p>
    <w:p w:rsidR="00A77B3E" w:rsidRDefault="00AE1CE6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1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2025 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AE1CE6">
      <w:pPr>
        <w:keepNext/>
        <w:spacing w:before="120" w:after="120" w:line="276" w:lineRule="auto"/>
        <w:ind w:left="454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2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</w:t>
      </w:r>
      <w:r>
        <w:rPr>
          <w:color w:val="000000"/>
          <w:u w:color="000000"/>
        </w:rPr>
        <w:t>..................2025 r.</w:t>
      </w:r>
    </w:p>
    <w:p w:rsidR="00A77B3E" w:rsidRDefault="00AE1CE6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rozpatrzenia nieuwzględnionych uwag do projektu planu</w:t>
      </w:r>
    </w:p>
    <w:p w:rsidR="00A77B3E" w:rsidRDefault="00AE1CE6">
      <w:pPr>
        <w:keepLines/>
        <w:spacing w:before="120" w:after="120" w:line="276" w:lineRule="auto"/>
        <w:ind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Na podstawie art. 20 ust. 1 ustawy z dnia 27 marca 2003 r. o </w:t>
      </w:r>
      <w:r>
        <w:rPr>
          <w:color w:val="000000"/>
          <w:u w:color="000000"/>
        </w:rPr>
        <w:t>planowaniu i zagospodarowaniu przestrzennym (Dz. U. z 2024 r. poz. 1130, z późn. zm.) odstępuje się od wyrażenia stanowiska wobec uwag nieuwzględnionych przez Prezydenta Miasta ze względu na fakt, iż brak jest takich uwag do projektu miejscowego planu zago</w:t>
      </w:r>
      <w:r>
        <w:rPr>
          <w:color w:val="000000"/>
          <w:u w:color="000000"/>
        </w:rPr>
        <w:t>spodarowania przestrzennego Gminy Bytom – etap V – dla terenu położonego w rejonie ulicy Bażantowej, wyłożonego do publicznego wglądu w dniach od 14 sierpnia 2025 r. do 15 września 2025 r. (jak również uwagi takie nie wpłynęły po wyłożeniu, w terminie wyzn</w:t>
      </w:r>
      <w:r>
        <w:rPr>
          <w:color w:val="000000"/>
          <w:u w:color="000000"/>
        </w:rPr>
        <w:t>aczonym do ich wnoszenia, tj. do dnia 29 września 2025 r.).</w:t>
      </w:r>
    </w:p>
    <w:p w:rsidR="00A77B3E" w:rsidRDefault="00AE1CE6">
      <w:pPr>
        <w:keepNext/>
        <w:spacing w:before="120" w:after="120" w:line="276" w:lineRule="auto"/>
        <w:ind w:left="454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Nr 3 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dnia....................2025 r.</w:t>
      </w:r>
    </w:p>
    <w:p w:rsidR="00A77B3E" w:rsidRDefault="00AE1CE6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 o sposobie realizacji, zapisanych w planie inwestycji z zakresu infrast</w:t>
      </w:r>
      <w:r>
        <w:rPr>
          <w:b/>
          <w:color w:val="000000"/>
          <w:u w:color="000000"/>
        </w:rPr>
        <w:t>ruktury technicznej, które należą do zadań własnych gminy oraz zasadach ich finansowania, zgodnie z przepisami o finansach publicznych</w:t>
      </w:r>
    </w:p>
    <w:p w:rsidR="00A77B3E" w:rsidRDefault="00AE1CE6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20 ust. 1 ustawy z dnia 27 marca 2003 r. o planowaniu i zagospodarowaniu przestrzennym (Dz. U. z 2024 r</w:t>
      </w:r>
      <w:r>
        <w:rPr>
          <w:color w:val="000000"/>
          <w:u w:color="000000"/>
        </w:rPr>
        <w:t>. poz. 1130, z późn. zm.) rozstrzyga się, co następuje: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W związku z uchwaleniem miejscowego planu zagospodarowania przestrzennego Gminy Bytom – etap V – dla terenu położonego w rejonie ulicy Bażantowej, Gmina Bytom może ponieść wydatki na </w:t>
      </w:r>
      <w:r>
        <w:rPr>
          <w:color w:val="000000"/>
          <w:u w:color="000000"/>
        </w:rPr>
        <w:t>inwestycje z zakresu infrastruktury technicznej i dróg.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Źródłem finansowania inwestycji, o których mowa w ust. 1 będą: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budżet gminy;</w:t>
      </w:r>
    </w:p>
    <w:p w:rsidR="00A77B3E" w:rsidRDefault="00AE1CE6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współfinansowanie środkami zewnętrznymi, poprzez budżet gminy – w ramach m. in.: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dotacji unijnych,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dotacji s</w:t>
      </w:r>
      <w:r>
        <w:rPr>
          <w:color w:val="000000"/>
          <w:u w:color="000000"/>
        </w:rPr>
        <w:t>amorządu województwa,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dotacji i pożyczek z funduszy celowych,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kredytów i pożyczek bankowych,</w:t>
      </w:r>
    </w:p>
    <w:p w:rsidR="00A77B3E" w:rsidRDefault="00AE1CE6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innych środków zewnętrznych.</w:t>
      </w:r>
    </w:p>
    <w:p w:rsidR="00A77B3E" w:rsidRDefault="00AE1CE6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 xml:space="preserve">Prognozowany okres realizacji </w:t>
      </w:r>
      <w:r>
        <w:rPr>
          <w:color w:val="000000"/>
          <w:u w:color="000000"/>
        </w:rPr>
        <w:t>inwestycji, wymienionych w § 1 ust. 1 przyjmuje się sukcesywnie, w miarę pozyskiwania środków finansowych oraz w oparciu o aktualne potrzeby mieszkańców, określane w budżetach rocznych.</w:t>
      </w:r>
    </w:p>
    <w:p w:rsidR="00A77B3E" w:rsidRDefault="00AE1CE6">
      <w:pPr>
        <w:keepNext/>
        <w:keepLines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Nr 4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</w:t>
      </w:r>
      <w:r>
        <w:t>omiu</w:t>
      </w:r>
      <w:r>
        <w:rPr>
          <w:color w:val="000000"/>
          <w:u w:color="000000"/>
        </w:rPr>
        <w:br/>
      </w:r>
      <w:r>
        <w:t>z dnia .................... 2025 r.</w:t>
      </w:r>
      <w:r>
        <w:rPr>
          <w:color w:val="000000"/>
          <w:u w:color="000000"/>
        </w:rPr>
        <w:br/>
      </w:r>
      <w:hyperlink r:id="rId11" w:history="1">
        <w:r>
          <w:rPr>
            <w:rStyle w:val="Hipercze"/>
            <w:color w:val="000000"/>
            <w:u w:val="none" w:color="000000"/>
          </w:rPr>
          <w:t>Zalacznik4.xml</w:t>
        </w:r>
      </w:hyperlink>
    </w:p>
    <w:p w:rsidR="00A77B3E" w:rsidRDefault="00AE1CE6">
      <w:pPr>
        <w:keepNext/>
        <w:spacing w:after="480" w:line="276" w:lineRule="auto"/>
        <w:jc w:val="center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 xml:space="preserve">Dane przestrzenne, o których mowa w art. 67a ust. 3 i 5 ustawy z dnia 27 marca 2003 r. </w:t>
      </w:r>
      <w:r>
        <w:rPr>
          <w:b/>
          <w:color w:val="000000"/>
          <w:u w:color="000000"/>
        </w:rPr>
        <w:t>o planowaniu i zagospodarowaniu przestrzennym (j.t. Dz.U. z 2020 r. poz. 293 z późn. zm.) ujawnione zostaną po kliknięciu w ikonę</w:t>
      </w:r>
    </w:p>
    <w:p w:rsidR="008E07D3" w:rsidRDefault="008E07D3">
      <w:pPr>
        <w:rPr>
          <w:rFonts w:eastAsia="Times New Roman" w:cs="Times New Roman"/>
          <w:szCs w:val="20"/>
        </w:rPr>
      </w:pPr>
    </w:p>
    <w:p w:rsidR="008E07D3" w:rsidRDefault="00AE1CE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Miejscowy plan zagospodarowania przestrzennego Gminy Bytom – etap V – dla terenu położonego w rejonie ulicy </w:t>
      </w:r>
      <w:r>
        <w:rPr>
          <w:rFonts w:eastAsia="Times New Roman" w:cs="Times New Roman"/>
          <w:szCs w:val="20"/>
        </w:rPr>
        <w:t>Bażantowej opracowany został na podstawie uchwały nr LXXII/915/22 Rady Miejskiej w Bytomiu z dnia 19 grudnia 2022 r. w sprawie przystąpienia do sporządzenia miejscowego planu zagospodarowania przestrzennego Gminy Bytom i stanowi V etap realizacji tejże uch</w:t>
      </w:r>
      <w:r>
        <w:rPr>
          <w:rFonts w:eastAsia="Times New Roman" w:cs="Times New Roman"/>
          <w:szCs w:val="20"/>
        </w:rPr>
        <w:t>wały.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o powierzchni ok. 32,5 ha obejmuje teren w rejonie ulicy Bażantowej, ograniczony: od północnego wschodu terenem ROD „Jedność Robotnicza”, od wschodu parkiem krajobrazowym „Fazaniec”, od południa doliną rzeki Bytomki oraz od </w:t>
      </w:r>
      <w:r>
        <w:rPr>
          <w:rFonts w:eastAsia="Times New Roman" w:cs="Times New Roman"/>
          <w:szCs w:val="20"/>
        </w:rPr>
        <w:t>zachodu i północnego zachodu nieczynnym torowiskiem kolejowym.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został sporządzony z uwzględnieniem zasad planowania przestrzennego i nie narusza ustaleń „Studium uwarunkowań i kierunków zagospodarowania przestrzennego Gminy Bytom”, przyjętego</w:t>
      </w:r>
      <w:r>
        <w:rPr>
          <w:rFonts w:eastAsia="Times New Roman" w:cs="Times New Roman"/>
          <w:szCs w:val="20"/>
        </w:rPr>
        <w:t xml:space="preserve"> uchwałą nr XVI/204/11 Rady Miejskiej w Bytomiu z dnia 24 sierpnia 2011 r., zmienionego uchwałą nr X/120/13 Rady Miejskiej w Bytomiu z dnia 25 lutego 2013 r., uchwałą nr XXXVIII/485/17 Rady Miejskiej w Bytomiu z dnia 27 lutego 2017 r., uchwałą nr LXI/814/1</w:t>
      </w:r>
      <w:r>
        <w:rPr>
          <w:rFonts w:eastAsia="Times New Roman" w:cs="Times New Roman"/>
          <w:szCs w:val="20"/>
        </w:rPr>
        <w:t>8 Rady Miejskiej w Bytomiu z dnia 26 marca 2018 r., uchwałą nr LXIV/839/18 Rady Miejskiej w Bytomiu z dnia 28 maja 2018 r., uchwałą nr XXXII/463/20 Rady Miejskiej w Bytomiu z dnia 28 września 2020 r., uchwałą nr XL/549/21 Rady Miejskiej w Bytomiu z dnia 22</w:t>
      </w:r>
      <w:r>
        <w:rPr>
          <w:rFonts w:eastAsia="Times New Roman" w:cs="Times New Roman"/>
          <w:szCs w:val="20"/>
        </w:rPr>
        <w:t> lutego 2021 r., uchwałą nr LXXVI/968/23 Rady Miejskiej w Bytomiu z dnia 27 marca 2023 r., uchwałą nr LXXX/1008/23 Rady Miejskiej w Bytomiu z dnia 26 czerwca 2023 r. oraz uchwałą nr LXXXVI/1078/23 Rady Miejskiej w Bytomiu z dnia 27 listopada 2023 r.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Proced</w:t>
      </w:r>
      <w:r>
        <w:rPr>
          <w:rFonts w:eastAsia="Times New Roman" w:cs="Times New Roman"/>
          <w:szCs w:val="20"/>
        </w:rPr>
        <w:t>ura formalno-prawna została przeprowadzona w trybie ustawy z dnia 27 marca 2003 r. o planowaniu i zagospodarowaniu przestrzennym (Dz. U. z 2024 r. poz. 1130, z późn. zm.) w szczególności na podstawie art. 17 tej ustawy oraz w związku z art. 67 ust. 3 ustaw</w:t>
      </w:r>
      <w:r>
        <w:rPr>
          <w:rFonts w:eastAsia="Times New Roman" w:cs="Times New Roman"/>
          <w:szCs w:val="20"/>
        </w:rPr>
        <w:t>y z dnia 7 lipca 2023 r. o zmianie ustawy o planowaniu i zagospodarowaniu przestrzennym oraz niektórych innych ustaw (Dz. U. z 2023 r. poz. 1688).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I. Sposób realizacji wymogów wynikających z art. 1 ust. 2-4 ustawy o planowaniu i zagospodarowaniu przestrzen</w:t>
      </w:r>
      <w:r>
        <w:rPr>
          <w:rFonts w:eastAsia="Times New Roman" w:cs="Times New Roman"/>
          <w:szCs w:val="20"/>
        </w:rPr>
        <w:t>nym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Wymagania ładu przestrzennego, w tym urbanistyki i architektury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ochrony i kształtowania ładu przestrzennego, ustalenia dotyczące zasad kształtowania zabudowy oraz wskaźniki zagospodarowania</w:t>
      </w:r>
      <w:r>
        <w:rPr>
          <w:rFonts w:eastAsia="Times New Roman" w:cs="Times New Roman"/>
          <w:szCs w:val="20"/>
        </w:rPr>
        <w:t xml:space="preserve"> terenu. Zapisy te zapewniają uwzględnienie w przedmiotowym opracowaniu wymagań ładu przestrzennego, w tym urbanistyki i architektury.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Walory architektoniczne i krajobrazowe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zawiera ustalenia dotyczące zasad kształtowania zabud</w:t>
      </w:r>
      <w:r>
        <w:rPr>
          <w:rFonts w:eastAsia="Times New Roman" w:cs="Times New Roman"/>
          <w:szCs w:val="20"/>
        </w:rPr>
        <w:t xml:space="preserve">owy i zagospodarowania terenów, jak również zasad kształtowania krajobrazu, w tym m. in. w zakresie stosowania materiałów elewacyjnych i kolorystyki elewacji budynków. Są to </w:t>
      </w:r>
      <w:r>
        <w:rPr>
          <w:rFonts w:eastAsia="Times New Roman" w:cs="Times New Roman"/>
          <w:szCs w:val="20"/>
        </w:rPr>
        <w:lastRenderedPageBreak/>
        <w:t>czynniki wpływające niewątpliwie na możliwość kształtowania krajobrazu i architekt</w:t>
      </w:r>
      <w:r>
        <w:rPr>
          <w:rFonts w:eastAsia="Times New Roman" w:cs="Times New Roman"/>
          <w:szCs w:val="20"/>
        </w:rPr>
        <w:t>ury oraz ochronę występujących na tym terenie walorów tak architektonicznych jak i krajobrazowych.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Wymagania ochrony środowiska, w tym gospodarowania wodami i ochrony gruntów rolnych i leśnych oraz ochrony złóż kopalin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zawiera </w:t>
      </w:r>
      <w:r>
        <w:rPr>
          <w:rFonts w:eastAsia="Times New Roman" w:cs="Times New Roman"/>
          <w:szCs w:val="20"/>
        </w:rPr>
        <w:t>ustalenia dotyczące zasad ochrony środowiska, przyrody i krajobrazu kulturowego, odnoszące się m. in. do gospodarowania wodami i ich ochrony, klasyfikacji terenów pod kątem ochrony akustycznej i ochrony przed promieniowaniem elektromagnetycznym, ochrony po</w:t>
      </w:r>
      <w:r>
        <w:rPr>
          <w:rFonts w:eastAsia="Times New Roman" w:cs="Times New Roman"/>
          <w:szCs w:val="20"/>
        </w:rPr>
        <w:t>wietrza, ochrony powierzchni ziemi oraz postępowania z odpadami.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projekt planu nie obejmuje gruntów rolnych oraz leśnych podlegających ochronie, w związku z czym nie jest wymagane ustalenie zasad ich ochrony.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obszarze planu występują </w:t>
      </w:r>
      <w:r>
        <w:rPr>
          <w:rFonts w:eastAsia="Times New Roman" w:cs="Times New Roman"/>
          <w:szCs w:val="20"/>
        </w:rPr>
        <w:t>udokumentowane złoża kopalin (węgla kamiennego), dla których zasady ochrony określają przepisy ustawy z dnia 9 czerwca 2011 r. Prawo geologiczne i górnicze.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4. Wymagania ochrony dziedzictwa kulturowego i zabytków oraz dóbr kultury współczesnej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o</w:t>
      </w:r>
      <w:r>
        <w:rPr>
          <w:rFonts w:eastAsia="Times New Roman" w:cs="Times New Roman"/>
          <w:szCs w:val="20"/>
        </w:rPr>
        <w:t>bjętym projektem planu znajduje się teren parku krajobrazowego „Fazaniec” ujętego w rejestrze zabytków nieruchomych Województwa Śląskiego.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obszarze projektu planu nie występują: inne obiekty ujęte w gminnej ewidencji zabytków, stanowiska archeologiczne (</w:t>
      </w:r>
      <w:r>
        <w:rPr>
          <w:rFonts w:eastAsia="Times New Roman" w:cs="Times New Roman"/>
          <w:szCs w:val="20"/>
        </w:rPr>
        <w:t>dla których warunki ochrony określa ustawa z dnia 23 lipca 2003 r. o ochronie zabytków i opiece nad zabytkami) oraz dobra kultury współczesnej, w związku z czym plan nie ustala wymogów ich ochrony.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5. Wymagania ochrony zdrowia oraz bezpieczeństwa ludzi i m</w:t>
      </w:r>
      <w:r>
        <w:rPr>
          <w:rFonts w:eastAsia="Times New Roman" w:cs="Times New Roman"/>
          <w:szCs w:val="20"/>
        </w:rPr>
        <w:t>ienia, a także potrzeby osób ze szczególnymi potrzebami, o których mowa w ustawie z dnia 19 lipca 2019 r. o zapewnianiu dostępności osobom ze szczególnymi potrzebami (Dz. U. z 2022 r. poz. 2240).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miejscowego nie mają negatywnego wp</w:t>
      </w:r>
      <w:r>
        <w:rPr>
          <w:rFonts w:eastAsia="Times New Roman" w:cs="Times New Roman"/>
          <w:szCs w:val="20"/>
        </w:rPr>
        <w:t>ływu na zdrowie oraz bezpieczeństwo ludzi i mienia, a także potrzeby osób ze szczególnymi potrzebami. Zapisy mające na celu ochronę zdrowia oraz bezpieczeństwa ludzi i mienia zawarto m. in. w ustaleniach dotyczących ochrony akustycznej, ochrony przed promi</w:t>
      </w:r>
      <w:r>
        <w:rPr>
          <w:rFonts w:eastAsia="Times New Roman" w:cs="Times New Roman"/>
          <w:szCs w:val="20"/>
        </w:rPr>
        <w:t>eniowaniem elektromagnetycznym, ochrony powietrza, ochrony powierzchni ziemi oraz postępowania z odpadami. Projekt planu określa również liczbę miejsc do parkowania dla pojazdów zaopatrzonych w kartę parkingową.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6. Walory ekonomiczne przestrzeni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</w:t>
      </w:r>
      <w:r>
        <w:rPr>
          <w:rFonts w:eastAsia="Times New Roman" w:cs="Times New Roman"/>
          <w:szCs w:val="20"/>
        </w:rPr>
        <w:t>anu miejscowego poprzez ustalenie przeznaczenia terenów oraz optymalnych wskaźników zagospodarowania terenu i kształtowania zabudowy, zgodnie z kierunkami określonymi w „Studium uwarunkowań i kierunków zagospodarowania przestrzennego Gminy Bytom”, uwzględn</w:t>
      </w:r>
      <w:r>
        <w:rPr>
          <w:rFonts w:eastAsia="Times New Roman" w:cs="Times New Roman"/>
          <w:szCs w:val="20"/>
        </w:rPr>
        <w:t xml:space="preserve">ia walory ekonomiczne przestrzeni. W projekcie planu dla terenu 1MN określono stawkę procentową służącą naliczaniu opłaty z tytułu wzrostu wartości </w:t>
      </w:r>
      <w:r>
        <w:rPr>
          <w:rFonts w:eastAsia="Times New Roman" w:cs="Times New Roman"/>
          <w:szCs w:val="20"/>
        </w:rPr>
        <w:lastRenderedPageBreak/>
        <w:t xml:space="preserve">nieruchomości w wysokości 20%, natomiast dla wszystkich pozostałych terenów określono ww. stawkę procentową </w:t>
      </w:r>
      <w:r>
        <w:rPr>
          <w:rFonts w:eastAsia="Times New Roman" w:cs="Times New Roman"/>
          <w:szCs w:val="20"/>
        </w:rPr>
        <w:t>w wysokości 30%.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7. Prawo własności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Ustalenia projektu planu oraz przeznaczenia poszczególnych terenów wydzielonych liniami rozgraniczającymi uwzględniają poszanowanie prawa własności, jednak np. z uwagi na potrzebę dostosowywania istniejących dróg publicz</w:t>
      </w:r>
      <w:r>
        <w:rPr>
          <w:rFonts w:eastAsia="Times New Roman" w:cs="Times New Roman"/>
          <w:szCs w:val="20"/>
        </w:rPr>
        <w:t>nych do odpowiednich parametrów, może zajść konieczność pozyskania części nieruchomości niebędących własnością Gminy Bytom.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8. Potrzeby obronności i bezpieczeństwa państwa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planu położony jest poza strefami ochronnymi oraz obszarem ograniczonego użyt</w:t>
      </w:r>
      <w:r>
        <w:rPr>
          <w:rFonts w:eastAsia="Times New Roman" w:cs="Times New Roman"/>
          <w:szCs w:val="20"/>
        </w:rPr>
        <w:t>kowania wyznaczonym dla obiektów wojskowych i nie jest terenem zamkniętym. Nie występują na nim tereny ani obiekty służące obronności i bezpieczeństwu państwa. W toku procedury planistycznej stosowne organy wojskowe, ochrony granic i bezpieczeństwa państwa</w:t>
      </w:r>
      <w:r>
        <w:rPr>
          <w:rFonts w:eastAsia="Times New Roman" w:cs="Times New Roman"/>
          <w:szCs w:val="20"/>
        </w:rPr>
        <w:t xml:space="preserve"> zostały zawiadomione o przystąpieniu do sporządzenia przedmiotowego planu, a przedstawiony im projekt planu uzgodniły pozytywnie.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9. Potrzeby interesu publicznego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planu miejscowego zapewnia możliwość spełniania potrzeb ogółu społeczeństwa, w tym m</w:t>
      </w:r>
      <w:r>
        <w:rPr>
          <w:rFonts w:eastAsia="Times New Roman" w:cs="Times New Roman"/>
          <w:szCs w:val="20"/>
        </w:rPr>
        <w:t>. in. poprzez realizację inwestycji celu publicznego, takich jak budowa nowych dróg oraz niezbędnej infrastruktury technicznej.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10. Potrzeby w zakresie rozwoju infrastruktury technicznej, w szczególności sieci szerokopasmowych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</w:t>
      </w:r>
      <w:r>
        <w:rPr>
          <w:rFonts w:eastAsia="Times New Roman" w:cs="Times New Roman"/>
          <w:szCs w:val="20"/>
        </w:rPr>
        <w:t>zawiera ustalenia dotyczące zasad modernizacji, rozbudowy i budowy systemów infrastruktury technicznej.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11. Zapewnienie udziału społeczeństwa w pracach nad miejscowym planem zagospodarowania przestrzennego, w tym przy użyciu środków komunikacji elektronicz</w:t>
      </w:r>
      <w:r>
        <w:rPr>
          <w:rFonts w:eastAsia="Times New Roman" w:cs="Times New Roman"/>
          <w:szCs w:val="20"/>
        </w:rPr>
        <w:t>nej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Zapewnienie udziału społeczeństwa w pracach nad miejscowym planem zagospodarowania przestrzennego, w tym przy użyciu środków komunikacji elektronicznej, zostało zrealizowane poprzez: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zamieszczenie ogłoszeń w prasie, na stronie internetowej miasta or</w:t>
      </w:r>
      <w:r>
        <w:rPr>
          <w:rFonts w:eastAsia="Times New Roman" w:cs="Times New Roman"/>
          <w:szCs w:val="20"/>
        </w:rPr>
        <w:t>az w Biuletynie Informacji Publicznej i obwieszczenia na tablicy ogłoszeń Urzędu Miejskiego w Bytomiu o: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 przystąpieniu do sporządzenia miejscowego planu zagospodarowania przestrzennego zagospodarowania przestrzennego Gminy Bytom – etap V – dla terenu po</w:t>
      </w:r>
      <w:r>
        <w:rPr>
          <w:rFonts w:eastAsia="Times New Roman" w:cs="Times New Roman"/>
          <w:szCs w:val="20"/>
        </w:rPr>
        <w:t>łożonego w rejonie ulicy Bażantowej, możliwości składania wniosków i uwag oraz możliwości zapoznania się z dokumentacją sprawy,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 wyłożeniu do publicznego wglądu projektu miejscowego planu zagospodarowania przestrzennego zagospodarowania przestrzennego Gm</w:t>
      </w:r>
      <w:r>
        <w:rPr>
          <w:rFonts w:eastAsia="Times New Roman" w:cs="Times New Roman"/>
          <w:szCs w:val="20"/>
        </w:rPr>
        <w:t xml:space="preserve">iny Bytom  – etap V – dla terenu położonego w rejonie ulicy Bażantowej wraz z prognozą oddziaływania na środowisko, możliwości składania wniosków i uwag, możliwości zapoznania się z niezbędną </w:t>
      </w:r>
      <w:r>
        <w:rPr>
          <w:rFonts w:eastAsia="Times New Roman" w:cs="Times New Roman"/>
          <w:szCs w:val="20"/>
        </w:rPr>
        <w:lastRenderedPageBreak/>
        <w:t>dokumentacją sprawy oraz o udostępnieniu projektu planu do wgląd</w:t>
      </w:r>
      <w:r>
        <w:rPr>
          <w:rFonts w:eastAsia="Times New Roman" w:cs="Times New Roman"/>
          <w:szCs w:val="20"/>
        </w:rPr>
        <w:t>u w formie elektronicznej;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 przeprowadzenie w dniach od 14 sierpnia 2025 r. do 15 września 2025 r. wyłożenia do publicznego wglądu projektu miejscowego planu zagospodarowania przestrzennego zagospodarowania przestrzennego Gminy Bytom  – etap V – dla tere</w:t>
      </w:r>
      <w:r>
        <w:rPr>
          <w:rFonts w:eastAsia="Times New Roman" w:cs="Times New Roman"/>
          <w:szCs w:val="20"/>
        </w:rPr>
        <w:t>nu położonego w rejonie ulicy Bażantowej wraz z prognozą oddziaływania na środowisko i zorganizowanie w dniu 8 września 2025 r. dyskusji publicznej nad przyjętymi w projekcie planu rozwiązaniami;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 umożliwienie składania uwag do projektu miejscowego planu</w:t>
      </w:r>
      <w:r>
        <w:rPr>
          <w:rFonts w:eastAsia="Times New Roman" w:cs="Times New Roman"/>
          <w:szCs w:val="20"/>
        </w:rPr>
        <w:t xml:space="preserve"> zagospodarowania przestrzennego zagospodarowania przestrzennego Gminy Bytom – etap V – dla terenu położonego w rejonie ulicy Bażantowej w terminie od 15 września 2025 r. do 29 września 2025 r.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12. Zachowanie jawności i przejrzystości procedur planistyczny</w:t>
      </w:r>
      <w:r>
        <w:rPr>
          <w:rFonts w:eastAsia="Times New Roman" w:cs="Times New Roman"/>
          <w:szCs w:val="20"/>
        </w:rPr>
        <w:t>ch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Zachowanie jawności i przejrzystości procedur planistycznych zostało zapewnione poprzez zrealizowanie czynności formalno-prawnych określonych w art. 17 ustawy z dnia 27 marca 2003 r. o planowaniu i zagospodarowaniu przestrzennym, jak również na podstawi</w:t>
      </w:r>
      <w:r>
        <w:rPr>
          <w:rFonts w:eastAsia="Times New Roman" w:cs="Times New Roman"/>
          <w:szCs w:val="20"/>
        </w:rPr>
        <w:t>e art. 21, art. 39 i art. 54 ustawy z dnia 3 października 2008 r. o udostępnieniu informacji o środowisku i jego ochronie, udziale społeczeństwa w ochronie środowiska oraz o ocenach oddziaływania na środowisko.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13. Potrzeba zapewnienia odpowiedniej ilości </w:t>
      </w:r>
      <w:r>
        <w:rPr>
          <w:rFonts w:eastAsia="Times New Roman" w:cs="Times New Roman"/>
          <w:szCs w:val="20"/>
        </w:rPr>
        <w:t>i jakości wody, do celów zaopatrzenia ludności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planu miejscowego zawiera ustalenia dotyczące zasad zaopatrzenia w wodę, które w rezultacie przełożą się na zapewnienie odpowiedniej ilości i jakości wody w odniesieniu do planowanego zagospodarowania </w:t>
      </w:r>
      <w:r>
        <w:rPr>
          <w:rFonts w:eastAsia="Times New Roman" w:cs="Times New Roman"/>
          <w:szCs w:val="20"/>
        </w:rPr>
        <w:t>terenów.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14. Zachowanie równowagi, przy ustalaniu przeznaczenia terenu lub określaniu potencjalnego sposobu zagospodarowania i korzystania z terenu, między interesem publicznym a interesami prywatnymi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Ustalając przeznaczenie terenu, a także określając spos</w:t>
      </w:r>
      <w:r>
        <w:rPr>
          <w:rFonts w:eastAsia="Times New Roman" w:cs="Times New Roman"/>
          <w:szCs w:val="20"/>
        </w:rPr>
        <w:t>ób zagospodarowania i korzystania z terenu, Prezydent Miasta wziął pod uwagę interes publiczny i interesy prywatne oraz ustosunkował się do zgłoszonych wniosków i uwag.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15. Uwzględnienie wymagań ładu przestrzennego, efektywnego gospodarowania przestrzenią </w:t>
      </w:r>
      <w:r>
        <w:rPr>
          <w:rFonts w:eastAsia="Times New Roman" w:cs="Times New Roman"/>
          <w:szCs w:val="20"/>
        </w:rPr>
        <w:t>oraz walorów ekonomicznych przestrzeni w przypadku sytuowania nowej zabudowy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Umożliwiając sytuowanie nowej zabudowy uwzględniono wymagania ładu przestrzennego, efektywne gospodarowanie przestrzenią oraz walory ekonomiczne przestrzeni, w szczególności: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 p</w:t>
      </w:r>
      <w:r>
        <w:rPr>
          <w:rFonts w:eastAsia="Times New Roman" w:cs="Times New Roman"/>
          <w:szCs w:val="20"/>
        </w:rPr>
        <w:t>rzeznaczenia terenów w projekcie planu przyjęto w oparciu o istniejący system komunikacyjny z uwzględnieniem możliwości jego ewentualnej przebudowy oraz rozbudowy o projektowane drogi, umożliwiające obsługę komunikacyjną terenów;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 xml:space="preserve">2) zapewniono rozwiązania </w:t>
      </w:r>
      <w:r>
        <w:rPr>
          <w:rFonts w:eastAsia="Times New Roman" w:cs="Times New Roman"/>
          <w:szCs w:val="20"/>
        </w:rPr>
        <w:t>przestrzenne umożliwiające realizację elementów zagospodarowania, takich jak: infrastruktura techniczna, urządzenia budowlane, urządzenia sportowo-rekreacyjne, dojazdy, ciągi piesze, ciągi pieszo-jezdne, ścieżki rowerowe, zieleń urządzona, zieleń izolacyjn</w:t>
      </w:r>
      <w:r>
        <w:rPr>
          <w:rFonts w:eastAsia="Times New Roman" w:cs="Times New Roman"/>
          <w:szCs w:val="20"/>
        </w:rPr>
        <w:t>a, obiekty małej architektury oraz elementy wyposażenia miejskiego.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Dopuszczona ustaleniami planu, zgodnie z kierunkami określonymi w „Studium uwarunkowań i kierunków zagospodarowania przestrzennego Gminy Bytom”, nowa zabudowa przyczyni się do bardziej efe</w:t>
      </w:r>
      <w:r>
        <w:rPr>
          <w:rFonts w:eastAsia="Times New Roman" w:cs="Times New Roman"/>
          <w:szCs w:val="20"/>
        </w:rPr>
        <w:t>ktywnego wykorzystania terenów.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II. Zgodność z wynikami analizy, o której mowa w art. 32 ust. 1 ustawy o planowaniu i zagospodarowaniu przestrzennym wraz z datą uchwały rady gminy, o której mowa w art. 32 ust. 2 ww. ustawy oraz sposób uwzględnienia uniwers</w:t>
      </w:r>
      <w:r>
        <w:rPr>
          <w:rFonts w:eastAsia="Times New Roman" w:cs="Times New Roman"/>
          <w:szCs w:val="20"/>
        </w:rPr>
        <w:t>alnego projektowania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Sporządzony projekt planu nie wykazuje niezgodności z wynikami opracowanej „Analizy zmian w zagospodarowaniu przestrzennym Gminy Bytom w latach 2018 – 2023”, przyjętej uchwałą nr XCI/1142/24 Rady Miejskiej w Bytomiu z dnia 15 marca 202</w:t>
      </w:r>
      <w:r>
        <w:rPr>
          <w:rFonts w:eastAsia="Times New Roman" w:cs="Times New Roman"/>
          <w:szCs w:val="20"/>
        </w:rPr>
        <w:t>4 r. W ww. analizie wskazano bowiem zarówno na potrzebę sporządzenia miejscowych planów zagospodarowania przestrzennego dla terenów nieobjętych planami miejscowymi jak i na zasadność kontynuacji prac nad aktualizacją obowiązujących miejscowych planów zagos</w:t>
      </w:r>
      <w:r>
        <w:rPr>
          <w:rFonts w:eastAsia="Times New Roman" w:cs="Times New Roman"/>
          <w:szCs w:val="20"/>
        </w:rPr>
        <w:t>podarowania przestrzennego, z uwzględnieniem zachodzących zmian w zagospodarowaniu przestrzennym oraz aktualnych wymogów prawnych, a także obecnych potrzeb rozwoju przestrzennego miasta. Projekt planu uwzględnia także uniwersalne projektowanie, w tym m. in</w:t>
      </w:r>
      <w:r>
        <w:rPr>
          <w:rFonts w:eastAsia="Times New Roman" w:cs="Times New Roman"/>
          <w:szCs w:val="20"/>
        </w:rPr>
        <w:t>. określenie liczby miejsc do parkowania dla pojazdów zaopatrzonych w kartę parkingową.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III. Wpływ na finanse publiczne, w tym budżet gminy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sporządzenia prognozy skutków finansowych uchwalenia przedmiotowego miejscowego planu zagospodarowania prze</w:t>
      </w:r>
      <w:r>
        <w:rPr>
          <w:rFonts w:eastAsia="Times New Roman" w:cs="Times New Roman"/>
          <w:szCs w:val="20"/>
        </w:rPr>
        <w:t>strzennego stwierdzono, że: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wskaźnik ekonomiczny inwestycji, jaką jest uchwalenie miejscowego planu zagospodarowania przestrzennego zagospodarowania przestrzennego Gminy Bytom – etap I – dla terenu położonego w rejonie ulicy Brzezińskiej, jest dodatni.</w:t>
      </w:r>
    </w:p>
    <w:p w:rsidR="008E07D3" w:rsidRDefault="00AE1CE6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zmiana przeznaczenia terenów może przynieść skutek w postaci dochodu gminy z tytułu pobrania opłaty planistycznej oraz sprzedaży nieruchomości będących jej własnością.</w:t>
      </w:r>
    </w:p>
    <w:sectPr w:rsidR="008E07D3" w:rsidSect="008E07D3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7D3" w:rsidRDefault="008E07D3" w:rsidP="008E07D3">
      <w:r>
        <w:separator/>
      </w:r>
    </w:p>
  </w:endnote>
  <w:endnote w:type="continuationSeparator" w:id="0">
    <w:p w:rsidR="008E07D3" w:rsidRDefault="008E07D3" w:rsidP="008E07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E07D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7D3" w:rsidRDefault="00AE1CE6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B3411114-2316-4473-B8E3-EA39E02A0E77.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7D3" w:rsidRDefault="00AE1CE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E07D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8E07D3">
            <w:rPr>
              <w:sz w:val="18"/>
            </w:rPr>
            <w:fldChar w:fldCharType="end"/>
          </w:r>
        </w:p>
      </w:tc>
    </w:tr>
  </w:tbl>
  <w:p w:rsidR="008E07D3" w:rsidRDefault="008E07D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E07D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7D3" w:rsidRDefault="00AE1CE6">
          <w:pPr>
            <w:rPr>
              <w:sz w:val="18"/>
            </w:rPr>
          </w:pPr>
          <w:r>
            <w:rPr>
              <w:sz w:val="18"/>
            </w:rPr>
            <w:t>Id: B3411114-2316-4473-B8E3-EA39E02A0E77.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7D3" w:rsidRDefault="00AE1CE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E07D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16</w:t>
          </w:r>
          <w:r w:rsidR="008E07D3">
            <w:rPr>
              <w:sz w:val="18"/>
            </w:rPr>
            <w:fldChar w:fldCharType="end"/>
          </w:r>
        </w:p>
      </w:tc>
    </w:tr>
  </w:tbl>
  <w:p w:rsidR="008E07D3" w:rsidRDefault="008E07D3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E07D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7D3" w:rsidRDefault="00AE1CE6">
          <w:pPr>
            <w:rPr>
              <w:sz w:val="18"/>
            </w:rPr>
          </w:pPr>
          <w:r>
            <w:rPr>
              <w:sz w:val="18"/>
            </w:rPr>
            <w:t>Id: B3411114-2316-4473-B8E3-EA39E02A0E77.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7D3" w:rsidRDefault="00AE1CE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E07D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17</w:t>
          </w:r>
          <w:r w:rsidR="008E07D3">
            <w:rPr>
              <w:sz w:val="18"/>
            </w:rPr>
            <w:fldChar w:fldCharType="end"/>
          </w:r>
        </w:p>
      </w:tc>
    </w:tr>
  </w:tbl>
  <w:p w:rsidR="008E07D3" w:rsidRDefault="008E07D3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E07D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7D3" w:rsidRDefault="00AE1CE6">
          <w:pPr>
            <w:rPr>
              <w:sz w:val="18"/>
            </w:rPr>
          </w:pPr>
          <w:r>
            <w:rPr>
              <w:sz w:val="18"/>
            </w:rPr>
            <w:t>Id: B3411114-2316-4473-B8E3-EA39E02A0E77.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7D3" w:rsidRDefault="00AE1CE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E07D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18</w:t>
          </w:r>
          <w:r w:rsidR="008E07D3">
            <w:rPr>
              <w:sz w:val="18"/>
            </w:rPr>
            <w:fldChar w:fldCharType="end"/>
          </w:r>
        </w:p>
      </w:tc>
    </w:tr>
  </w:tbl>
  <w:p w:rsidR="008E07D3" w:rsidRDefault="008E07D3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E07D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7D3" w:rsidRDefault="00AE1CE6">
          <w:pPr>
            <w:rPr>
              <w:sz w:val="18"/>
            </w:rPr>
          </w:pPr>
          <w:r>
            <w:rPr>
              <w:sz w:val="18"/>
            </w:rPr>
            <w:t>Id: B3411114-2316-4473-B8E3-EA39E02A0E77.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7D3" w:rsidRDefault="00AE1CE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E07D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19</w:t>
          </w:r>
          <w:r w:rsidR="008E07D3">
            <w:rPr>
              <w:sz w:val="18"/>
            </w:rPr>
            <w:fldChar w:fldCharType="end"/>
          </w:r>
        </w:p>
      </w:tc>
    </w:tr>
  </w:tbl>
  <w:p w:rsidR="008E07D3" w:rsidRDefault="008E07D3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E07D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7D3" w:rsidRDefault="00AE1CE6">
          <w:pPr>
            <w:rPr>
              <w:sz w:val="18"/>
            </w:rPr>
          </w:pPr>
          <w:r>
            <w:rPr>
              <w:sz w:val="18"/>
            </w:rPr>
            <w:t>Id: B3411114-2316-4473-B8E3-EA39E02A0E77.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7D3" w:rsidRDefault="00AE1CE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E07D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24</w:t>
          </w:r>
          <w:r w:rsidR="008E07D3">
            <w:rPr>
              <w:sz w:val="18"/>
            </w:rPr>
            <w:fldChar w:fldCharType="end"/>
          </w:r>
        </w:p>
      </w:tc>
    </w:tr>
  </w:tbl>
  <w:p w:rsidR="008E07D3" w:rsidRDefault="008E07D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7D3" w:rsidRDefault="008E07D3" w:rsidP="008E07D3">
      <w:r>
        <w:separator/>
      </w:r>
    </w:p>
  </w:footnote>
  <w:footnote w:type="continuationSeparator" w:id="0">
    <w:p w:rsidR="008E07D3" w:rsidRDefault="008E07D3" w:rsidP="008E07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E07D3"/>
    <w:rsid w:val="00A77B3E"/>
    <w:rsid w:val="00AE1CE6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E07D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Downloads\Zalacznik1.pdf" TargetMode="External"/><Relationship Id="rId13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file:///C:\Users\asteuer\Downloads\Zalacznik4.xml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6482</Words>
  <Characters>42190</Characters>
  <Application>Microsoft Office Word</Application>
  <DocSecurity>0</DocSecurity>
  <Lines>351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48575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 Gminy Bytom – etap V – dla terenu położonego w^rejonie ulicy Bażantowej</dc:subject>
  <dc:creator>jmach</dc:creator>
  <cp:lastModifiedBy>asteuer</cp:lastModifiedBy>
  <cp:revision>2</cp:revision>
  <dcterms:created xsi:type="dcterms:W3CDTF">2025-10-17T08:58:00Z</dcterms:created>
  <dcterms:modified xsi:type="dcterms:W3CDTF">2025-10-17T08:58:00Z</dcterms:modified>
  <cp:category>Akt prawny</cp:category>
</cp:coreProperties>
</file>