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XXI/197/25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Bytomskich Mieszkań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Bytomskich Mieszkań.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18 sierpnia 2025 r. i 22 września 2025 r. rozpatrywała skargę z dnia 31 sierpnia 2025 r. złożoną przez Panią B.G., którą Komisja zakwalifikowała jako skargę na działalność Dyrektora Bytomskich Mieszkań.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Pani B.G. skierowała prośbę o interwencję dotyczącą stanu technicznego budynku, w którym zamieszkuje.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Przeprowadzono wizję w budynku, w wyniku której ustalono, że widoczne spękania na elewacji zachodniej tej nieruchomości nie stwarzają bezpośredniego zagrożenia dla bezpieczeństwa ludzi i mienia. Tym niemniej zalecono założenie w trzech miejscach na elewacji plomb (szczelinomierzy) oraz bieżące monitorowanie rozwarcia szczelin na elewacji.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Bytomskie Mieszkania dodatkowo określiły stan techniczny poszczególnych elementów budynku, tj. połaci dachowej, posadzki i schodów na klatce schodowej oraz drzwi wejściowych do budynku jako zadowalający, ścian i sufitów klatki schodowej jako dostateczny, natomiast drewniane okna na klatce schodowej zakwalifikowano jako wymagające konserwacji.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Został wykonany przegląd całej instalacji wodno-kanalizacyjnej w budynku, stwierdzone uszkodzenie wynikające z niewłaściwej eksploatacji i będące powodem zalania ścian i sufitów na klatce schodowej zostało naprawione.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Instalacja elektryczna jest sprawna. Aby zapobiec problemowi kradzieży energii elektrycznej z obwodu administracyjnego został zabudowany ogranicznik poboru energii. Na klatce schodowej zamontowano lampy z czujnikiem ruchu.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Zgłaszana przez Panią B.G. konieczność wymiany stolarki okiennej w zajmowanym mieszkaniu została uwzględniona, a stolarka okienna zakwalifikowana do wymiany, jednakże nie w trybie awaryjnym.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opinii zarządcy budynku obecnie nie występują czynniki potwierdzające konieczność wykwaterowania mieszkańców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otrzymanymi wyjaśnieniami, Komisja Skarg, Wniosków i Petycji Rady Miejskiej w Bytomiu stwierdza, że skargę Pani B.G. na działalność Dyrektora Bytomskich Mieszkań należy uznać za 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 uznaje skargę Pani B.G. na działalność Dyrektora Bytomskich Mieszkań za 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2E4768EF-E381-47E1-A3D4-69F5B65C5917.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2E4768EF-E381-47E1-A3D4-69F5B65C5917.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XXI/197/25 z dnia 29 września 2025 r.</dc:title>
  <dc:subject>w sprawie stanowiska Rady Miejskiej dotyczącego skargi na działalność Dyrektora Bytomskich Mieszkań</dc:subject>
  <dc:creator>asteuer</dc:creator>
  <cp:lastModifiedBy>asteuer</cp:lastModifiedBy>
  <cp:revision>1</cp:revision>
  <dcterms:created xsi:type="dcterms:W3CDTF">2025-09-30T10:45:24Z</dcterms:created>
  <dcterms:modified xsi:type="dcterms:W3CDTF">2025-09-30T10:45:24Z</dcterms:modified>
  <cp:category>Akt prawny</cp:category>
</cp:coreProperties>
</file>