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740C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740C4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4740C4">
      <w:pPr>
        <w:keepNext/>
        <w:spacing w:after="480" w:line="276" w:lineRule="auto"/>
        <w:jc w:val="center"/>
      </w:pPr>
      <w:r>
        <w:rPr>
          <w:b/>
        </w:rPr>
        <w:t>w sprawie uchwalenia miejscowego planu zagospodarowania przestrzennego Gminy Bytom – etap IV – dla terenu położonego w rejonie ulicy Siemianowickiej</w:t>
      </w:r>
    </w:p>
    <w:p w:rsidR="00A77B3E" w:rsidRDefault="004740C4">
      <w:pPr>
        <w:keepLines/>
        <w:spacing w:before="120" w:after="120" w:line="276" w:lineRule="auto"/>
        <w:ind w:firstLine="227"/>
      </w:pPr>
      <w:r>
        <w:t xml:space="preserve">Na podstawie </w:t>
      </w:r>
      <w:r>
        <w:t>art. 18 ust. 2 pkt 5, art. 40 ust. 1 i art. 41 ust. 1 ustawy z dnia 8 marca 1990 r. o samorządzie gminnym (Dz. U. z 2025 r. poz. 1153) oraz art. 3 ust. 1, art. 20 ust. 1 ustawy z dnia 27 marca 2003 r. o planowaniu i zagospodarowaniu przestrzennym (Dz. U. z</w:t>
      </w:r>
      <w:r>
        <w:t> 2024 r. poz. 1130, z późn. zm.), w związku z art. 67 ust. 3 ustawy z dnia 7 lipca 2023 r. o zmianie ustawy o planowaniu i zagospodarowaniu przestrzennym oraz niektórych innych ustaw (Dz. U. z 2023 r. poz. 1688) oraz w związku z uchwałą nr LXXII/915/22 Rad</w:t>
      </w:r>
      <w:r>
        <w:t>y Miejskiej w Bytomiu z dnia 19 grudnia 2022 r. w sprawie przystąpienia do sporządzenia miejscowego planu zagospodarowania przestrzennego Gminy Bytom stwierdza się, że miejscowy plan zagospodarowania przestrzennego Gminy Bytom – etap IV – dla terenu położo</w:t>
      </w:r>
      <w:r>
        <w:t>nego w rejonie ulicy Siemianowickiej nie narusza ustaleń „Studium uwarunkowań i kierunków zagospodarowania przestrzennego Gminy Bytom”, przyjętego uchwałą nr XVI/204/11 Rady Miejskiej w Bytomiu z dnia 24 sierpnia 2011 r., z późn. zm. i uchwala się, co nast</w:t>
      </w:r>
      <w:r>
        <w:t>ępuje:</w:t>
      </w:r>
    </w:p>
    <w:p w:rsidR="00A77B3E" w:rsidRDefault="004740C4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ogólne</w:t>
      </w:r>
    </w:p>
    <w:p w:rsidR="00A77B3E" w:rsidRDefault="004740C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 miejscowy plan zagospodarowania przestrzennego Gminy Bytom – etap IV – dla terenu położonego w rejonie ulicy Siemianowickiej, zwany dalej „planem”, składają się ustalenia zawarte w treści niniejszej uchwały wraz z</w:t>
      </w:r>
      <w:r>
        <w:t> następującymi załącznikami:</w:t>
      </w:r>
    </w:p>
    <w:p w:rsidR="00A77B3E" w:rsidRDefault="004740C4">
      <w:pPr>
        <w:spacing w:before="120" w:after="120" w:line="276" w:lineRule="auto"/>
        <w:ind w:left="340" w:hanging="227"/>
      </w:pPr>
      <w:r>
        <w:t>1) </w:t>
      </w:r>
      <w:r>
        <w:t>załącznik nr 1 – rysunek planu, stanowiący część graficzną ustaleń planu, wykonany na kopii mapy zasadniczej w skali 1:1000;</w:t>
      </w:r>
    </w:p>
    <w:p w:rsidR="00A77B3E" w:rsidRDefault="004740C4">
      <w:pPr>
        <w:spacing w:before="120" w:after="120" w:line="276" w:lineRule="auto"/>
        <w:ind w:left="340" w:hanging="227"/>
      </w:pPr>
      <w:r>
        <w:t>2) </w:t>
      </w:r>
      <w:r>
        <w:t>załącznik nr 2 – rozstrzygnięcie o sposobie rozpatrzenia nieuwzględnionych uwag do projektu plan</w:t>
      </w:r>
      <w:r>
        <w:t>u;</w:t>
      </w:r>
    </w:p>
    <w:p w:rsidR="00A77B3E" w:rsidRDefault="004740C4">
      <w:pPr>
        <w:spacing w:before="120" w:after="120" w:line="276" w:lineRule="auto"/>
        <w:ind w:left="340" w:hanging="227"/>
      </w:pPr>
      <w:r>
        <w:t>3) </w:t>
      </w:r>
      <w:r>
        <w:t>załącznik nr 3 – rozstrzygnięcie o sposobie realizacji, zapisanych w planie inwestycji z zakresu infrastruktury technicznej, które należą do zadań własnych gminy oraz zasadach ich finansowania, zgodnie z przepisami o finansach publicznych;</w:t>
      </w:r>
    </w:p>
    <w:p w:rsidR="00A77B3E" w:rsidRDefault="004740C4">
      <w:pPr>
        <w:spacing w:before="120" w:after="120" w:line="276" w:lineRule="auto"/>
        <w:ind w:left="340" w:hanging="227"/>
      </w:pPr>
      <w:r>
        <w:t>4) </w:t>
      </w:r>
      <w:r>
        <w:t>załączn</w:t>
      </w:r>
      <w:r>
        <w:t>ik nr 4 – dane przestrzenne dla planu.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planu.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uchwały zawarta jest w następujących rozdziałach: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Rozdział 2 – Zasady ochrony i </w:t>
      </w:r>
      <w:r>
        <w:rPr>
          <w:color w:val="000000"/>
          <w:u w:color="000000"/>
        </w:rPr>
        <w:t>kształtowania ładu przestrzennego;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Rozdział 3 – Zasady ochrony środowiska, przyrody i krajobrazu;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Rozdział 4 – Zasady kształtowania krajobrazu;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Rozdział 5 – Zasady ochrony dziedzictwa kulturowego i zabytków, w tym krajobrazów kulturowych oraz dóbr</w:t>
      </w:r>
      <w:r>
        <w:rPr>
          <w:color w:val="000000"/>
          <w:u w:color="000000"/>
        </w:rPr>
        <w:t xml:space="preserve"> kultury współczesnej;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Wymagania wynikające z potrzeb kształtowania przestrzeni publicznych;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Rozdział 7 – Granice i sposoby zagospodarowania terenów lub obiektów podlegających ochronie, na podstawie odrębnych przepisów, terenów górniczyc</w:t>
      </w:r>
      <w:r>
        <w:rPr>
          <w:color w:val="000000"/>
          <w:u w:color="000000"/>
        </w:rPr>
        <w:t>h, a także obszarów szczególnego zagrożenia powodzią, obszarów osuwania się mas ziemnych, krajobrazów priorytetowych określonych w audycie krajobrazowym oraz w planach zagospodarowania przestrzennego województwa;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Rozdział 8 – Szczegółowe zasady i </w:t>
      </w:r>
      <w:r>
        <w:rPr>
          <w:color w:val="000000"/>
          <w:u w:color="000000"/>
        </w:rPr>
        <w:t>warunki scalania i podziału nieruchomości objętych planem miejscowym, w tym parametry działek uzyskiwanych w wyniku scalania i podziału nieruchomości;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Rozdział 9 – Szczególne warunki zagospodarowania terenów oraz ograniczenia w ich użytkowaniu, w tym za</w:t>
      </w:r>
      <w:r>
        <w:rPr>
          <w:color w:val="000000"/>
          <w:u w:color="000000"/>
        </w:rPr>
        <w:t>kaz zabudowy;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Rozdział 10 – Zasady modernizacji, rozbudowy i budowy systemów komunikacji i infrastruktury technicznej;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Rozdział 11 – Sposób i termin tymczasowego zagospodarowania, urządzania i użytkowania terenów;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Rozdział 12 – Stawki procentow</w:t>
      </w:r>
      <w:r>
        <w:rPr>
          <w:color w:val="000000"/>
          <w:u w:color="000000"/>
        </w:rPr>
        <w:t>e, na podstawie których ustala się opłatę, o której mowa w art. 36 ust. 4 ustawy o planowaniu i zagospodarowaniu przestrzennym;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Rozdział 13 – Ustalenia szczegółowe dla terenów o różnym przeznaczeniu lub różnych zasadach zagospodarowania;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Rozdział 1</w:t>
      </w:r>
      <w:r>
        <w:rPr>
          <w:color w:val="000000"/>
          <w:u w:color="000000"/>
        </w:rPr>
        <w:t>4 – Przepisy końcowe.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miejscowym planem zagospodarowania przestrzennego;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linie rozgraniczające tereny o różnym przeznaczeniu lub różnych zasadach </w:t>
      </w:r>
      <w:r>
        <w:rPr>
          <w:color w:val="000000"/>
          <w:u w:color="000000"/>
        </w:rPr>
        <w:t>zagospodarowania;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symbole cyfrowo-literowe określające przeznaczenie terenów wyznaczonych liniami rozgraniczającymi: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MW-U – teren zabudowy mieszkaniowej wielorodzinnej lub usług,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 – teren usług,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 – teren produkcji,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KDZ – teren drogi zbiorc</w:t>
      </w:r>
      <w:r>
        <w:rPr>
          <w:color w:val="000000"/>
          <w:u w:color="000000"/>
        </w:rPr>
        <w:t>zej;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nieprzekraczalne linie zabudowy;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budynek lub obiekt o wartościach kulturowych wraz z numerem porządkowym, ujęty w gminnej ewidencji zabytków i objęty ochroną w planie;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granica terenu wyznaczonego na rozmieszczenie ogniw fotowoltaicznych wytwa</w:t>
      </w:r>
      <w:r>
        <w:rPr>
          <w:color w:val="000000"/>
          <w:u w:color="000000"/>
        </w:rPr>
        <w:t>rzających energię o mocy przekraczającej 500 kW wraz ze strefą ochronną.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Rysunek planu zawiera następujące oznaczenia lub informacje wynikające z przepisów odrębnych: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udokumentowanego złoża węgla kamiennego „Bytom II” – numer systemowy 8003;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granica udokumentowanego złoża węgla kamiennego „Bytom II-1” – numer systemowy 9744;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granica udokumentowanego złoża węgla kamiennego „Rozbark” – numer systemowy 330;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granica terenów zamkniętych;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strefy w odległości 10,0 m i 20,0 m od granicy ob</w:t>
      </w:r>
      <w:r>
        <w:rPr>
          <w:color w:val="000000"/>
          <w:u w:color="000000"/>
        </w:rPr>
        <w:t>szaru kolejowego, w których obowiązują szczególne warunki zagospodarowania oraz ograniczenia w użytkowaniu, wynikające z obowiązujących przepisów odrębnych w zakresie transportu kolejowego.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Rysunek planu, poza treścią mapy zasadniczej, zawiera </w:t>
      </w:r>
      <w:r>
        <w:rPr>
          <w:color w:val="000000"/>
          <w:u w:color="000000"/>
        </w:rPr>
        <w:t>następujące informacje niebędące ustaleniami planu: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administracyjna miasta;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granice i numery działek ewidencyjnych;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zlikwidowane szyby i szybiki;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orientacyjny zasięg zakończonej płytkiej eksploatacji rudnej.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Ilekroć w dalszych u</w:t>
      </w:r>
      <w:r>
        <w:rPr>
          <w:color w:val="000000"/>
          <w:u w:color="000000"/>
        </w:rPr>
        <w:t>staleniach niniejszej uchwały jest mowa o: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dachu płaskim – należy przez to rozumieć dach o kącie nachylenia połaci dachowych w stosunku do płaszczyzny poziomej nie większym niż 12°;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działce budowlanej – należy przez to rozumieć działkę, o której mowa</w:t>
      </w:r>
      <w:r>
        <w:rPr>
          <w:color w:val="000000"/>
          <w:u w:color="000000"/>
        </w:rPr>
        <w:t xml:space="preserve"> w ustawie z dnia 27 marca 2003 r. o planowaniu i zagospodarowaniu przestrzennym;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elementach wyposażenia miejskiego – należy przez to rozumieć elementy zagospodarowania takie jak: siedziska, ławki, zegary uliczne, latarnie, lampy oświetleniowe, stojaki </w:t>
      </w:r>
      <w:r>
        <w:rPr>
          <w:color w:val="000000"/>
          <w:u w:color="000000"/>
        </w:rPr>
        <w:t>rowerowe, pergole, barierki uliczne, słupki i ograniczniki parkowania na chodnikach, donice, słupy informacyjno-ogłoszeniowe wykorzystywane przez władze miasta do promocji miasta i informowania mieszkańców o ważnych dla miasta wydarzeniach oraz elementy Sy</w:t>
      </w:r>
      <w:r>
        <w:rPr>
          <w:color w:val="000000"/>
          <w:u w:color="000000"/>
        </w:rPr>
        <w:t>stemu Identyfikacji Miejskiej;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garażu zbiorowym – należy przez to rozumieć zespół przylegających do siebie garaży jednokondygnacyjnych o jednolitej formie architektonicznej, zapewniający minimum 5 stanowisk postojowych;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istniejącej zabudowie – należy</w:t>
      </w:r>
      <w:r>
        <w:rPr>
          <w:color w:val="000000"/>
          <w:u w:color="000000"/>
        </w:rPr>
        <w:t xml:space="preserve"> przez to rozumieć zabudowę wzniesioną przed dniem wejścia w życie planu lub taką, dla której do dnia wejścia w życie planu została wydana prawomocna decyzja o pozwoleniu na budowę;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nieprzekraczalnej linii zabudowy – należy przez to rozumieć wyznaczoną </w:t>
      </w:r>
      <w:r>
        <w:rPr>
          <w:color w:val="000000"/>
          <w:u w:color="000000"/>
        </w:rPr>
        <w:t xml:space="preserve">na rysunku planu linię ograniczającą część terenu, w obrębie którego możliwe jest wznoszenie nadziemnych części budynków, przy czym dopuszczalne jest wysunięcie poza </w:t>
      </w:r>
      <w:r>
        <w:rPr>
          <w:color w:val="000000"/>
          <w:u w:color="000000"/>
        </w:rPr>
        <w:lastRenderedPageBreak/>
        <w:t>wyznaczoną linię zabudowy, na odległość nie większą niż 1,3 m, elementów nadwieszeń takich</w:t>
      </w:r>
      <w:r>
        <w:rPr>
          <w:color w:val="000000"/>
          <w:u w:color="000000"/>
        </w:rPr>
        <w:t xml:space="preserve"> jak: nieobudowane balkony, daszki nad wejściami do budynków, gzymsy, wykusze i inne elementy wystroju architektonicznego elewacji, a także, jeśli ustalenia planu nie stanowią inaczej, elementy wejść do budynku oraz grubości docieplenia w przypadku istniej</w:t>
      </w:r>
      <w:r>
        <w:rPr>
          <w:color w:val="000000"/>
          <w:u w:color="000000"/>
        </w:rPr>
        <w:t>ącego budynku; nieprzekraczalna linia zabudowy nie dotyczy podziemnych części budynków;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obszarze  – należy przez to rozumieć cały obszar objęty niniejszym planem;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parametrach i wskaźnikach zabudowy i zagospodarowania: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minimalnym wskaźniku powierzc</w:t>
      </w:r>
      <w:r>
        <w:rPr>
          <w:color w:val="000000"/>
          <w:u w:color="000000"/>
        </w:rPr>
        <w:t>hni biologicznie czynnej – należy przez to rozumieć minimalny udział powierzchni biologicznie czynnej, o którym mowa w art. 2 pkt 29 ustawy z dnia 27 marca 2003 r. o planowaniu i zagospodarowaniu przestrzennym – chyba, że z ustaleń szczegółowych planu wyni</w:t>
      </w:r>
      <w:r>
        <w:rPr>
          <w:color w:val="000000"/>
          <w:u w:color="000000"/>
        </w:rPr>
        <w:t>ka inaczej,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wskaźniku nadziemnej intensywności zabudowy – należy przez to rozumieć nadziemną intensywność zabudowy, o której mowa w art. 2 pkt 32 ustawy z dnia                    27 marca 2003 r. o planowaniu i zagospodarowaniu przestrzennym,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wskaźni</w:t>
      </w:r>
      <w:r>
        <w:rPr>
          <w:color w:val="000000"/>
          <w:u w:color="000000"/>
        </w:rPr>
        <w:t>ku powierzchni zabudowy – należy przez to rozumieć udział powierzchni zabudowy, o którym mowa w art. 2 pkt 35 ustawy z dnia 27 marca 2003 r. o planowaniu i zagospodarowaniu przestrzennym,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wysokości zabudowy – należy przez to rozumieć wysokość zabudowy, </w:t>
      </w:r>
      <w:r>
        <w:rPr>
          <w:color w:val="000000"/>
          <w:u w:color="000000"/>
        </w:rPr>
        <w:t>o której mowa w art. 2 pkt 30 ustawy z dnia 27 marca 2003 r. o planowaniu i zagospodarowaniu przestrzennym;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parkingu terenowym – należy przez to rozumieć niezadaszone miejsce lub zgrupowanie niezadaszonych miejsc parkingowych dla pojazdów, określone w u</w:t>
      </w:r>
      <w:r>
        <w:rPr>
          <w:color w:val="000000"/>
          <w:u w:color="000000"/>
        </w:rPr>
        <w:t>staleniach szczegółowych, opierające się na gruncie lub stropie garażu podziemnego i niebędące elementem pasa drogowego;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przepisach odrębnych lub przywołanych w ustaleniach planu ustawach i rozporządzeniach – należy przez to rozumieć odpowiednie, </w:t>
      </w:r>
      <w:r>
        <w:rPr>
          <w:color w:val="000000"/>
          <w:u w:color="000000"/>
        </w:rPr>
        <w:t>obowiązujące na dzień uchwalenia niniejszego planu, przepisy ustaw wraz z ich aktami wykonawczymi;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rzemiośle – należy przez to rozumieć drobną wytwórczość obejmującą wykonywanie i naprawianie przedmiotów użytkowych ręcznie lub prostymi narzędziami;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</w:t>
      </w:r>
      <w:r>
        <w:t> </w:t>
      </w:r>
      <w:r>
        <w:rPr>
          <w:color w:val="000000"/>
          <w:u w:color="000000"/>
        </w:rPr>
        <w:t>Systemie Identyfikacji Miejskiej – należy przez to rozumieć kompleksowo opracowany dla całego miasta lub dzielnicy system jednolitych stylistycznie elementów informacyjnych ułatwiających orientację w przestrzeni miasta, składający się z elementów takich j</w:t>
      </w:r>
      <w:r>
        <w:rPr>
          <w:color w:val="000000"/>
          <w:u w:color="000000"/>
        </w:rPr>
        <w:t>ak: tablice z nazwami ulic i ich nośniki, tablice kierujące do istotnych punktów miasta (np. muzea, szpitale, itp.), nośniki z planem miasta lub dzielnicy, nośniki informacji o istotnych elementach krajobrazu miejskiego (tj. obiekcie, patronie drogi, itp.)</w:t>
      </w:r>
      <w:r>
        <w:rPr>
          <w:color w:val="000000"/>
          <w:u w:color="000000"/>
        </w:rPr>
        <w:t>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przeznaczeniu należy przez to rozumieć ustalony planem przeważający sposób zagospodarowania i zabudowy powierzchni działki budowlanej w granicach terenu wyznaczonego liniami rozgraniczającymi;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14) </w:t>
      </w:r>
      <w:r>
        <w:rPr>
          <w:color w:val="000000"/>
          <w:u w:color="000000"/>
        </w:rPr>
        <w:t>przeznaczeniu uzupełniającym – należy przez to rozumi</w:t>
      </w:r>
      <w:r>
        <w:rPr>
          <w:color w:val="000000"/>
          <w:u w:color="000000"/>
        </w:rPr>
        <w:t>eć ustalony planem uzupełniający przeznaczenie podstawowe sposób zagospodarowania i zabudowy, którego udział wynosi nie więcej niż 49% powierzchni działki budowlanej w granicach terenu wyznaczonego liniami rozgraniczającymi lub może być określony w ustalen</w:t>
      </w:r>
      <w:r>
        <w:rPr>
          <w:color w:val="000000"/>
          <w:u w:color="000000"/>
        </w:rPr>
        <w:t>iach szczegółowych;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przeznaczeniu wykluczonym – należy przez to rozumieć sposób zagospodarowania i zabudowy terenów, których realizacji zakazuje się w ramach ustalonego w planie rodzaju przeznaczenia lub przeznaczenia uzupełniającego;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 xml:space="preserve">terenie – </w:t>
      </w:r>
      <w:r>
        <w:rPr>
          <w:color w:val="000000"/>
          <w:u w:color="000000"/>
        </w:rPr>
        <w:t>należy przez to rozumieć fragment obszaru planu o ustalonym przeznaczeniu i zasadach zagospodarowania, wyznaczony na rysunku planu liniami rozgraniczającymi i oznaczony symbolem cyfrowo-literowym służącym identyfikacji ustaleń w tekście planu;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 xml:space="preserve">zieleni </w:t>
      </w:r>
      <w:r>
        <w:rPr>
          <w:color w:val="000000"/>
          <w:u w:color="000000"/>
        </w:rPr>
        <w:t>izolacyjnej – należy przez to rozumieć roślinność o przeważającym składzie gatunków drzew i krzewów, których dojrzałe formy osiągają wysokość nie mniejszą niż 2,0 m, ukształtowaną w taki sposób, aby spełniać funkcje całorocznej przesłony wizualnej i barier</w:t>
      </w:r>
      <w:r>
        <w:rPr>
          <w:color w:val="000000"/>
          <w:u w:color="000000"/>
        </w:rPr>
        <w:t>y akustycznej oraz bariery przed zanieczyszczeniami i hałasem;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zieleni urządzonej – należy przez to rozumieć ukształtowane w sposób zaplanowany zespoły roślinności składające się z drzew, krzewów i zieleni niskiej wraz z obiektami małej architektury, o</w:t>
      </w:r>
      <w:r>
        <w:rPr>
          <w:color w:val="000000"/>
          <w:u w:color="000000"/>
        </w:rPr>
        <w:t>czkami wodnymi, urządzeniami rekreacyjnymi oraz ciągami pieszymi i ścieżkami rowerowymi.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rozumieć zgodnie z definicjami określonymi w przepisach odrębnych.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i kształtowania ładu przes</w:t>
      </w:r>
      <w:r>
        <w:rPr>
          <w:b/>
          <w:color w:val="000000"/>
          <w:u w:color="000000"/>
        </w:rPr>
        <w:t>trzennego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Zasady zagospodarowania terenów: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dopuszczenie na całym obszarze planu realizacji elementów zagospodarowania takich jak: infrastruktura techniczna, urządzenia budowlane, urządzenia sportowo-rekreacyjne, dojazdy, ciągi piesze, pieszo-jezdne</w:t>
      </w:r>
      <w:r>
        <w:rPr>
          <w:color w:val="000000"/>
          <w:u w:color="000000"/>
        </w:rPr>
        <w:t xml:space="preserve"> i ścieżki rowerowe, zieleń urządzona, zieleń izolacyjna, obiekty małej architektury, elementy Systemu Identyfikacji Miejskiej oraz elementy wyposażenia miejskiego, z zachowaniem pozostałych ustaleń planu oraz z uwzględnieniem przepisów odrębnych;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</w:t>
      </w:r>
      <w:r>
        <w:rPr>
          <w:color w:val="000000"/>
          <w:u w:color="000000"/>
        </w:rPr>
        <w:t>zczenie na całym obszarze planu realizacji inwestycji celu publicznego z zakresu łączności publicznej, z uwzględnieniem przepisów Rozdziału 13;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dopuszczenie na całym obszarze planu sytuowania budynków na działce budowlanej w odległości 1,5 m od granicy </w:t>
      </w:r>
      <w:r>
        <w:rPr>
          <w:color w:val="000000"/>
          <w:u w:color="000000"/>
        </w:rPr>
        <w:t>działki lub bezpośrednio przy tej granicy, z zachowaniem pozostałych ustaleń planu;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oznaczone na rysunku planu nieprzekraczalne linie zabudowy nie dotyczą związanych z infrastrukturą techniczną i telekomunikacyjną: budynków, budowli, obiektów i urządzeń</w:t>
      </w:r>
      <w:r>
        <w:rPr>
          <w:color w:val="000000"/>
          <w:u w:color="000000"/>
        </w:rPr>
        <w:t>.</w:t>
      </w:r>
    </w:p>
    <w:p w:rsidR="00A77B3E" w:rsidRDefault="004740C4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środowiska, przyrody i krajobrazu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oddziaływania na środowisko: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zakaz realizacji przedsięwzięć stwarzających zagrożenie dla życia lub zdrowia ludzi, a w szczególności przedsięwzięć mogących spowodować ryzyk</w:t>
      </w:r>
      <w:r>
        <w:rPr>
          <w:color w:val="000000"/>
          <w:u w:color="000000"/>
        </w:rPr>
        <w:t>o wystąpienia poważnych awarii;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przedsięwzięć mogących zawsze lub potencjalnie znacząco oddziaływać na środowisko, w rozumieniu przepisów rozporządzenia Rady Ministrów z dnia 10 września 2019 r. w sprawie przedsięwzięć mogących znacząco</w:t>
      </w:r>
      <w:r>
        <w:rPr>
          <w:color w:val="000000"/>
          <w:u w:color="000000"/>
        </w:rPr>
        <w:t xml:space="preserve"> oddziaływać na środowisko, z zastrzeżeniem pkt 3 i 4 oraz z wyłączeniem przedsięwzięć związanych z realizacją i remontami: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dróg publicznych,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linii tramwajowych,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infrastruktury technicznej,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inwestycji celu publicznego z zakresu łączności public</w:t>
      </w:r>
      <w:r>
        <w:rPr>
          <w:color w:val="000000"/>
          <w:u w:color="000000"/>
        </w:rPr>
        <w:t>znej,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podziemnego wydobycia kopalin,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poszukiwania i rozpoznawania złóż kopalin,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poszukiwania i rozpoznawania wód podziemnych,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stacji paliw,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garaży, parkingów samochodowych lub zespołów parkingów,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składowiska odpadów na terenie 1P;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realizacji przedsięwzięć mogących zawsze znacząco oddziaływać na środowisko nie dotyczy następujących przedsięwzięć zlokalizowanych na terenie 1P: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instalacji do przetwarzania odpadów niebezpiecznych z wyłączeniem składowisk odpadów niebezpiecznych</w:t>
      </w:r>
      <w:r>
        <w:rPr>
          <w:color w:val="000000"/>
          <w:u w:color="000000"/>
        </w:rPr>
        <w:t xml:space="preserve"> oraz miejsc retencji powierzchniowej odpadów niebezpiecznych,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stacji demontażu pojazdów wycofanych z eksploatacji i miejsc przetwarzania pojazdów wycofanych z eksploatacji,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zakładów przetwarzania zużytego sprzętu elektrycznego i elektronicznego,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zakładów przetwarzania zużytych baterii i zużytych akumulatorów;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dopuszczenie realizacji przedsięwzięć mogących potencjalnie znacząco oddziaływać na środowisko na terenach oznaczonych na rysunku planu symbolami: 1U, 1P i 2P;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zasięg oddziaływania na ś</w:t>
      </w:r>
      <w:r>
        <w:rPr>
          <w:color w:val="000000"/>
          <w:u w:color="000000"/>
        </w:rPr>
        <w:t>rodowisko działalności prowadzonej na poszczególnych terenach nie może przekraczać granicy nieruchomości, do której prowadzący działalność posiada tytuł prawny.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wskazuje się teren należący do poszczególnych rodzajów </w:t>
      </w:r>
      <w:r>
        <w:rPr>
          <w:color w:val="000000"/>
          <w:u w:color="000000"/>
        </w:rPr>
        <w:t>terenów, dla których określono dopuszczalne poziomy hałasu zgodnie z ustawą z dnia 27 kwietnia 2001 r. Prawo ochrony środowiska: teren oznaczony symbolem 1MW-U, na którym obowiązują poziomy hałasu jak dla terenów mieszkaniowo-usługowych;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nakaz stosowani</w:t>
      </w:r>
      <w:r>
        <w:rPr>
          <w:color w:val="000000"/>
          <w:u w:color="000000"/>
        </w:rPr>
        <w:t>a zabezpieczeń akustycznych od ponadnormatywnego oddziaływania akustycznego od istniejących ciągów komunikacyjnych oraz przy realizacji nowej i przebudowie istniejącej zabudowy wymagającej ochrony przed hałasem – zgodnie z rozporządzeniem Ministra Infrastr</w:t>
      </w:r>
      <w:r>
        <w:rPr>
          <w:color w:val="000000"/>
          <w:u w:color="000000"/>
        </w:rPr>
        <w:t>uktury z dnia 12 kwietnia 2002 r. w sprawie warunków technicznych, jakim powinny odpowiadać budynki i ich usytuowanie.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ochrony przed promieniowaniem elektromagnetycznym ustala się, że poziom pól elektromagnetycznych w środowisku nie może prze</w:t>
      </w:r>
      <w:r>
        <w:rPr>
          <w:color w:val="000000"/>
          <w:u w:color="000000"/>
        </w:rPr>
        <w:t>kraczać dopuszczalnych wartości określonych w ustawie z dnia 27 kwietnia 2001 r. Prawo ochrony środowiska, przy czym: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oznaczonego na rysunku planu symbolem 1MW-U obowiązują dopuszczalne poziomy pól elektromagnetycznych jak dla terenów przezna</w:t>
      </w:r>
      <w:r>
        <w:rPr>
          <w:color w:val="000000"/>
          <w:u w:color="000000"/>
        </w:rPr>
        <w:t>czonych pod zabudowę mieszkaniową;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wszystkich pozostałych terenów w obszarze objętym planem obowiązują dopuszczalne poziomy pól elektromagnetycznych jak dla miejsc dostępnych dla ludności.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zapobiegania powst</w:t>
      </w:r>
      <w:r>
        <w:rPr>
          <w:color w:val="000000"/>
          <w:u w:color="000000"/>
        </w:rPr>
        <w:t>awaniu emisji i ograniczania wprowadzanych do powietrza substancji – zgodnie z ustawą z dnia 27 kwietnia 2001 r. Prawo ochrony środowiska;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magazynowania na otwartej przestrzeni surowców i materiałów pylących.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ochrony wód: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</w:t>
      </w:r>
      <w:r>
        <w:rPr>
          <w:color w:val="000000"/>
          <w:u w:color="000000"/>
        </w:rPr>
        <w:t>opóźniania spływu wód opadowych i roztopowych do odbiorników poprzez ich retencjonowanie we własnym zakresie w obrębie działki;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zabezpieczenia drożności systemu odprowadzania wód na obszarze planu;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realizacji obiektów w sposób niepowodują</w:t>
      </w:r>
      <w:r>
        <w:rPr>
          <w:color w:val="000000"/>
          <w:u w:color="000000"/>
        </w:rPr>
        <w:t>cy zmiany stosunków wodnych na obszarze planu;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realizacji inwestycji mogących prowadzić do zanieczyszczenia wód podziemnych i wód powierzchniowych.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postępowania z odpadami: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realizacji miejsc do zbierania odpadów komunalnych </w:t>
      </w:r>
      <w:r>
        <w:rPr>
          <w:color w:val="000000"/>
          <w:u w:color="000000"/>
        </w:rPr>
        <w:t>przy zastosowaniu osłon oraz zabezpieczeń przed infiltracją wód opadowych;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terenu objętego planem w celu prowadzenia działalności polegającej na zbieraniu i przetwarzaniu odpadów, w tym surowców wtórnych, złomu i pojazdów wycofanyc</w:t>
      </w:r>
      <w:r>
        <w:rPr>
          <w:color w:val="000000"/>
          <w:u w:color="000000"/>
        </w:rPr>
        <w:t>h z eksploatacji, przy czym przez przetwarzanie odpadów należy rozumieć także składowanie odpadów, z zastrzeżeniem pkt 3, 4 i 5;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dla działalności prowadzonych na terenach objętych planem, magazynowania odpadów powstałych w wyniku tej działa</w:t>
      </w:r>
      <w:r>
        <w:rPr>
          <w:color w:val="000000"/>
          <w:u w:color="000000"/>
        </w:rPr>
        <w:t>lności wyłącznie w budynkach lub zadaszonych wiatach;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dopuszczenie na terenie 1P: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przedsięwzięć, o których mowa w § 6 ust. 1 pkt 3,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zbierania, magazynowania, odzysku i recyklingu odpadów,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składowania i wydobywania odpadów w ramach istniejącego </w:t>
      </w:r>
      <w:r>
        <w:rPr>
          <w:color w:val="000000"/>
          <w:u w:color="000000"/>
        </w:rPr>
        <w:t>składowiska;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dopuszczenie na terenie oznaczonym symbolem 2P rozbiórki istniejących zwałowisk w tym wydobywania z nich odpadów.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gleby przed degradacją lub zanieczyszczeniem;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</w:t>
      </w:r>
      <w:r>
        <w:rPr>
          <w:color w:val="000000"/>
          <w:u w:color="000000"/>
        </w:rPr>
        <w:t>nia zielenią urządzoną lub izolacyjną powierzchni niezabudowanych lub nieutwardzonych;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magazynowania surowców i materiałów bezpośrednio na powierzchni gruntu bez zabezpieczenia powierzchni przed infiltracją wód opadowych.</w:t>
      </w:r>
    </w:p>
    <w:p w:rsidR="00A77B3E" w:rsidRDefault="004740C4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kształ</w:t>
      </w:r>
      <w:r>
        <w:rPr>
          <w:b/>
          <w:color w:val="000000"/>
          <w:u w:color="000000"/>
        </w:rPr>
        <w:t>towania krajobrazu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Zakaz stosowania sidingu elewacyjnego do wykończenia elewacji budynków.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stosowania kolorów jaskrawych lub fosforyzujących na więcej niż 20% powierzchni każdej elewacji budynku.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Nakaz stosowania ujednoliconej </w:t>
      </w:r>
      <w:r>
        <w:rPr>
          <w:color w:val="000000"/>
          <w:u w:color="000000"/>
        </w:rPr>
        <w:t>kolorystyki elewacji i ujednoliconej kolorystyki dachów w granicach działki budowlanej.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dziedzictwa kulturowego i zabytków, w tym krajobrazów kulturowych oraz dóbr kultury współczesnej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Na obszarze planu nie ustala się zas</w:t>
      </w:r>
      <w:r>
        <w:rPr>
          <w:color w:val="000000"/>
          <w:u w:color="000000"/>
        </w:rPr>
        <w:t>ad ochrony dóbr kultury współczesnej.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ustanawia się ochronę budynków i obiektów budowlanych o wartościach kulturowych, ujętych w gminnej ewidencji zabytków oraz oznaczonych na rysunku planu.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Ochronie, o której mowa w ust. 2 podlegaj</w:t>
      </w:r>
      <w:r>
        <w:rPr>
          <w:color w:val="000000"/>
          <w:u w:color="000000"/>
        </w:rPr>
        <w:t>ą następujące budynki i obiekty: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51"/>
        <w:gridCol w:w="2461"/>
        <w:gridCol w:w="2340"/>
        <w:gridCol w:w="2145"/>
        <w:gridCol w:w="1485"/>
      </w:tblGrid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Numer porządkowy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Opis obiektu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Data powstania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Styl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62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modernizm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62a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modernizm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62b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modernizm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62c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modernizm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budynek dyrekcji 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1925 – 1926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 xml:space="preserve">budynek </w:t>
            </w:r>
            <w:r>
              <w:lastRenderedPageBreak/>
              <w:t>ambulatorium dawnej KWK Orzeł Biały, obecnie portiernia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 xml:space="preserve">ul. </w:t>
            </w:r>
            <w:r>
              <w:t xml:space="preserve">Siemianowicka </w:t>
            </w:r>
            <w:r>
              <w:lastRenderedPageBreak/>
              <w:t>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1926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7.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cechownia i łaźnia dawnej KWK Orzeł Biały, obecnie biurowiec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1926 r., rozbudowany</w:t>
            </w:r>
            <w:r>
              <w:rPr>
                <w:color w:val="000000"/>
                <w:u w:color="000000"/>
              </w:rPr>
              <w:br/>
              <w:t>w latach</w:t>
            </w:r>
            <w:r>
              <w:rPr>
                <w:color w:val="000000"/>
                <w:u w:color="000000"/>
              </w:rPr>
              <w:br/>
              <w:t>50. XX w.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budynek warsztatów 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1926 r., przebudowany</w:t>
            </w:r>
            <w:r>
              <w:rPr>
                <w:color w:val="000000"/>
                <w:u w:color="000000"/>
              </w:rPr>
              <w:br/>
              <w:t>w latach</w:t>
            </w:r>
            <w:r>
              <w:rPr>
                <w:color w:val="000000"/>
                <w:u w:color="000000"/>
              </w:rPr>
              <w:br/>
              <w:t>50.</w:t>
            </w:r>
            <w:r>
              <w:rPr>
                <w:color w:val="000000"/>
                <w:u w:color="000000"/>
              </w:rPr>
              <w:t xml:space="preserve"> XX w.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budynek laboratorium 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1928 r., rozbudowany</w:t>
            </w:r>
            <w:r>
              <w:rPr>
                <w:color w:val="000000"/>
                <w:u w:color="000000"/>
              </w:rPr>
              <w:br/>
              <w:t>w latach</w:t>
            </w:r>
            <w:r>
              <w:rPr>
                <w:color w:val="000000"/>
                <w:u w:color="000000"/>
              </w:rPr>
              <w:br/>
              <w:t>50. i 60. XX w.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maszynownia i rozdzielnia dawnej</w:t>
            </w:r>
            <w:r>
              <w:rPr>
                <w:color w:val="000000"/>
                <w:u w:color="000000"/>
              </w:rPr>
              <w:br/>
              <w:t>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1925 – 1926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–</w:t>
            </w:r>
          </w:p>
        </w:tc>
      </w:tr>
      <w:tr w:rsidR="000B32ED"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 xml:space="preserve">budynek pieców przewałowych </w:t>
            </w:r>
            <w:r>
              <w:t>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1926 r., częściowo przebudowany</w:t>
            </w:r>
            <w:r>
              <w:rPr>
                <w:color w:val="000000"/>
                <w:u w:color="000000"/>
              </w:rPr>
              <w:br/>
              <w:t>w 1956 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740C4">
            <w:pPr>
              <w:jc w:val="center"/>
              <w:rPr>
                <w:color w:val="000000"/>
                <w:u w:color="000000"/>
              </w:rPr>
            </w:pPr>
            <w:r>
              <w:t>–</w:t>
            </w:r>
          </w:p>
        </w:tc>
      </w:tr>
    </w:tbl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szczegółowe zasady ochrony budynków wymienionych w ust. 3, oznaczonych numerami 1 – 10: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utrzymania budynków z zachowaniem ich cech </w:t>
      </w:r>
      <w:r>
        <w:rPr>
          <w:color w:val="000000"/>
          <w:u w:color="000000"/>
        </w:rPr>
        <w:t>stylowych: formy, skali i gabarytów obiektów oraz geometrii i rodzaju pokrycia dachów, podziału architektonicznego elewacji (rozmiaru, kształtu, rozmieszczenia otworów okiennych i drzwiowych, detalu architektonicznego),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zachowania dekoracji i detali arc</w:t>
      </w:r>
      <w:r>
        <w:rPr>
          <w:color w:val="000000"/>
          <w:u w:color="000000"/>
        </w:rPr>
        <w:t>hitektonicznych takich jak: gzymsy, opaski okienne, elementy pionowego i poziomego podziału elewacji,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zachowania oryginalnej stolarki drzwi wejściowych do budynków wraz z kamiennymi progami budynków wymienionych w ust. 3 pkt 1 – 5;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</w:t>
      </w:r>
      <w:r>
        <w:rPr>
          <w:color w:val="000000"/>
          <w:u w:color="000000"/>
        </w:rPr>
        <w:t>nia przekształceń budynków powodujących obniżenie ich wartości historycznych,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likwidacji lub zmiany proporcji i kształtu otworów okiennych i drzwiowych na elewacjach frontowych, tj. północnych,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docieplania zewnętrznego oraz tynkowania ceglanych parti</w:t>
      </w:r>
      <w:r>
        <w:rPr>
          <w:color w:val="000000"/>
          <w:u w:color="000000"/>
        </w:rPr>
        <w:t>i elewacji budynków,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umieszczania na elewacjach frontowych budynków elementów takich jak: anteny, klimatyzatory, panele fotowoltaiczne, przewody natynkowe,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wprowadzania na elewacjach atektonicznych, kolorystycznych pasów,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stosowania na elewacjach </w:t>
      </w:r>
      <w:r>
        <w:rPr>
          <w:color w:val="000000"/>
          <w:u w:color="000000"/>
        </w:rPr>
        <w:t>tynków mozaikowych oraz materiałów elewacyjnych takich jak: listwy plastikowe, blachy profilowane, okładziny z płytek gresowych;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dopuszczenie, z zastrzeżeniem pkt 1: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przebudowy, odbudowy i remontu,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wymiany stolarki okiennej z zachowaniem pierwotny</w:t>
      </w:r>
      <w:r>
        <w:rPr>
          <w:color w:val="000000"/>
          <w:u w:color="000000"/>
        </w:rPr>
        <w:t>ch podziałów,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montażu okien połaciowych i świetlików dachowych, z zachowaniem kompozycji rozmieszczenia otworów okiennych na elewacji,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przywrócenia pokrycia dachu zgodnego z pierwotnie istniejącym,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termomodernizacji tynkowanych partii elewacji z z</w:t>
      </w:r>
      <w:r>
        <w:rPr>
          <w:color w:val="000000"/>
          <w:u w:color="000000"/>
        </w:rPr>
        <w:t>astosowaniem tynku w kolorze naturalnego tynku cementowo-wapiennego lub w odcieniach beżu oraz z zastosowaniem rozwiązań niepowodujących utraty walorów zabytkowych obiektów i plastyki elewacji,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odtworzenia zamurowanych wtórnie otworów okiennych oraz det</w:t>
      </w:r>
      <w:r>
        <w:rPr>
          <w:color w:val="000000"/>
          <w:u w:color="000000"/>
        </w:rPr>
        <w:t>ali architektonicznych w historycznej formie, wynikającej z dokumentacji konserwatorskiej.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szczegółowe zasady ochrony budynku wymienionego w ust. 3, oznaczonego numerem 11: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utrzymania budynku z zachowaniem jego cech stylowych: fo</w:t>
      </w:r>
      <w:r>
        <w:rPr>
          <w:color w:val="000000"/>
          <w:u w:color="000000"/>
        </w:rPr>
        <w:t>rmy, skali i gabarytu obiektu oraz geometrii i rodzaju pokrycia dachów, zachowanych elementów pierwotnego podziału architektonicznego elewacji (rozmiaru, kształtu, rozmieszczenia otworów okiennych i drzwiowych, detalu architektonicznego),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zachowania </w:t>
      </w:r>
      <w:r>
        <w:rPr>
          <w:color w:val="000000"/>
          <w:u w:color="000000"/>
        </w:rPr>
        <w:t>dekoracji i detali architektonicznych takich jak: gzymsy, opaski okienne, elementy pionowego i poziomego podziału elewacji;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 budynku powodujących obniżenie jego wartości historycznych,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docieplania zewnętrznego oraz </w:t>
      </w:r>
      <w:r>
        <w:rPr>
          <w:color w:val="000000"/>
          <w:u w:color="000000"/>
        </w:rPr>
        <w:t>tynkowania ceglanych partii elewacji budynków,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wprowadzania na elewacjach atektonicznych, kolorystycznych pasów,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stosowania na elewacjach tynków mozaikowych oraz materiałów elewacyjnych takich jak: listwy plastikowe, blachy profilowane, okładziny z </w:t>
      </w:r>
      <w:r>
        <w:rPr>
          <w:color w:val="000000"/>
          <w:u w:color="000000"/>
        </w:rPr>
        <w:t>płytek gresowych;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dopuszczenie, z zastrzeżeniem pkt 1: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przebudowy, odbudowy i remontu,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wymiany stolarki okiennej z zachowaniem pierwotnych podziałów,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montażu okien połaciowych i świetlików dachowych, z zachowaniem kompozycji rozmieszczenia otwo</w:t>
      </w:r>
      <w:r>
        <w:rPr>
          <w:color w:val="000000"/>
          <w:u w:color="000000"/>
        </w:rPr>
        <w:t>rów okiennych na elewacji,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przywrócenia pokrycia dachu zgodnego z pierwotnie istniejącym,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budowy i przebudowy zmierzającej do przywrócenia pierwotnego wyglądu przebudowanej wtórnie wschodniej części budynku,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termomodernizacji tynkowanych partii el</w:t>
      </w:r>
      <w:r>
        <w:rPr>
          <w:color w:val="000000"/>
          <w:u w:color="000000"/>
        </w:rPr>
        <w:t>ewacji z zastosowaniem tynku w kolorze naturalnego tynku cementowo-wapiennego lub w odcieniach beżu oraz z zastosowaniem rozwiązań niepowodujących utraty walorów zabytkowych obiektów i plastyki elewacji,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odtworzenia zamurowanych wtórnie otworów okiennyc</w:t>
      </w:r>
      <w:r>
        <w:rPr>
          <w:color w:val="000000"/>
          <w:u w:color="000000"/>
        </w:rPr>
        <w:t>h oraz detali architektonicznych w historycznej formie wynikającej z dokumentacji konserwatorskiej.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potrzeb kształtowania przestrzeni publicznych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Na obszarze planu nie występują obszary przestrzeni publicznych w rozu</w:t>
      </w:r>
      <w:r>
        <w:rPr>
          <w:color w:val="000000"/>
          <w:u w:color="000000"/>
        </w:rPr>
        <w:t>mieniu ustawy z dnia 27 marca 2003 r. o planowaniu i zagospodarowaniu przestrzennym, wobec czego nie formułuje się ustaleń dotyczących wymagań wynikających z potrzeb ich kształtowania.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Granice i sposoby zagospodarowania terenów lub obiektów pod</w:t>
      </w:r>
      <w:r>
        <w:rPr>
          <w:b/>
          <w:color w:val="000000"/>
          <w:u w:color="000000"/>
        </w:rPr>
        <w:t>legających ochronie, na podstawie odrębnych przepisów, terenów górniczych, a także obszarów szczególnego zagrożenia powodzią, obszarów osuwania się mas ziemnych, krajobrazów priorytetowych określonych w audycie krajobrazowym oraz w planach zagospodarowania</w:t>
      </w:r>
      <w:r>
        <w:rPr>
          <w:b/>
          <w:color w:val="000000"/>
          <w:u w:color="000000"/>
        </w:rPr>
        <w:t xml:space="preserve"> przestrzennego województwa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Na obszarze planu występują następujące udokumentowane złoża kopalin: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złoże węgla kamiennego „Bytom II”  – numer systemowy 8003;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złoże węgla kamiennego „Bytom II-1” – numer systemowy 9744;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złoże węgla </w:t>
      </w:r>
      <w:r>
        <w:rPr>
          <w:color w:val="000000"/>
          <w:u w:color="000000"/>
        </w:rPr>
        <w:t>kamiennego „Rozbark” – numer systemowy 330.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nie występują tereny i obszary górnicze.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Sposób zagospodarowania terenów, o których mowa w ust. 1 – zgodnie z ustaleniami zawartymi w niniejszej uchwale.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części obszaru objętego plan</w:t>
      </w:r>
      <w:r>
        <w:rPr>
          <w:color w:val="000000"/>
          <w:u w:color="000000"/>
        </w:rPr>
        <w:t>em, zgodnie z informacjami archiwalnymi, prowadzona była płytka eksploatacja rudna i występują wyrobiska mające połączenie z powierzchnią – zlikwidowane szyby i szybiki, które na rysunku planu oznaczono w celach informacyjnych.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obszarze planu nie wys</w:t>
      </w:r>
      <w:r>
        <w:rPr>
          <w:color w:val="000000"/>
          <w:u w:color="000000"/>
        </w:rPr>
        <w:t>tępują obszary szczególnego zagrożenia powodzią, obszary osuwania się mas ziemnych oraz krajobrazy priorytetowe, wobec czego nie formułuje się ustaleń dotyczących: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 szczególnego zagrożenia powodzią;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</w:t>
      </w:r>
      <w:r>
        <w:rPr>
          <w:color w:val="000000"/>
          <w:u w:color="000000"/>
        </w:rPr>
        <w:t> sposobów zagospodarowania obszarów osuwania się mas ziemnych;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granic i sposobów zagospodarowania krajobrazów priorytetowych.</w:t>
      </w:r>
    </w:p>
    <w:p w:rsidR="00A77B3E" w:rsidRDefault="004740C4">
      <w:pPr>
        <w:keepNext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Szczegółowe zasady i warunki scalania i podziału nieruchomości objętych planem miejscowym, w tym parametry działek </w:t>
      </w:r>
      <w:r>
        <w:rPr>
          <w:b/>
          <w:color w:val="000000"/>
          <w:u w:color="000000"/>
        </w:rPr>
        <w:t>uzyskiwanych w wyniku scalania i podziału nieruchomości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 xml:space="preserve">Ustala się następujące parametry działek uzyskiwanych w wyniku scalania i podziału nieruchomości: 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frontów działek: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20,0 m – dla terenów o symbolach: 1MW-U, 1U, 1P i</w:t>
      </w:r>
      <w:r>
        <w:rPr>
          <w:color w:val="000000"/>
          <w:u w:color="000000"/>
        </w:rPr>
        <w:t> 2P,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5,0 m – dla pozostałych terenów;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minimalna powierzchnia działek: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1000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–  dla terenów o symbolach: 1MW-U, 1U, 1P i 2P,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pozostałych terenów;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kąt położenia granic działek w stosunku do pasa drogowego: 90° z dopuszczeniem </w:t>
      </w:r>
      <w:r>
        <w:rPr>
          <w:color w:val="000000"/>
          <w:u w:color="000000"/>
        </w:rPr>
        <w:t>odchylenia o 10°.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Określone w ust. 1 parametry działek nie dotyczą wydzielania działek pod infrastrukturę techniczną.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 w tym zakaz zabudowy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Dla istnieją</w:t>
      </w:r>
      <w:r>
        <w:rPr>
          <w:color w:val="000000"/>
          <w:u w:color="000000"/>
        </w:rPr>
        <w:t>cej zabudowy na działkach budowlanych, na których w momencie wejścia w życie planu przekroczone zostały zasady ustalone w niniejszym planie, w tym przeznaczenie oraz parametry i wskaźniki zabudowy lub zagospodarowania terenu ustala się zakaz rozbudowy, któ</w:t>
      </w:r>
      <w:r>
        <w:rPr>
          <w:color w:val="000000"/>
          <w:u w:color="000000"/>
        </w:rPr>
        <w:t>ra powodowałaby dalsze przekroczenie zasad, parametrów i wskaźników zabudowy lub zagospodarowania terenu, za wyjątkiem rozbudowy o elementy takie jak: wejścia do budynku, dostosowanie wejść dla potrzeb osób niepełnosprawnych, zadaszenia wejść oraz docieple</w:t>
      </w:r>
      <w:r>
        <w:rPr>
          <w:color w:val="000000"/>
          <w:u w:color="000000"/>
        </w:rPr>
        <w:t>nia budynku.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wykraczających poza linie zabudowy fragmentów budynków istniejących w dniu wejścia w życie planu, dopuszcza się przebudowy, remonty i zmiany sposobu użytkowania przy zachowaniu pozostałych ustaleń planu.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Zagospodarowanie terenów w st</w:t>
      </w:r>
      <w:r>
        <w:rPr>
          <w:color w:val="000000"/>
          <w:u w:color="000000"/>
        </w:rPr>
        <w:t>refach w odległości 10,0 m i 20,0 m od granicy obszaru kolejowego, w których obowiązują szczególne warunki zagospodarowania oraz ograniczenia w użytkowaniu, wynikające z obowiązujących przepisów odrębnych w zakresie transportu kolejowego – oznaczonych graf</w:t>
      </w:r>
      <w:r>
        <w:rPr>
          <w:color w:val="000000"/>
          <w:u w:color="000000"/>
        </w:rPr>
        <w:t>icznie na rysunku planu – zgodnie z ustawą z dnia 28 marca 2003 r. o transporcie kolejowym oraz rozporządzeniem Ministra Infrastruktury z dnia 7 sierpnia 2008 r. w sprawie wymagań w zakresie odległości i warunków dopuszczających usytuowanie drzew i krzewów</w:t>
      </w:r>
      <w:r>
        <w:rPr>
          <w:color w:val="000000"/>
          <w:u w:color="000000"/>
        </w:rPr>
        <w:t>, elementów ochrony akustycznej i wykonywania robót ziemnych w sąsiedztwie linii kolejowej, a także sposobu urządzania i utrzymywania zasłon odśnieżnych oraz pasów przeciwpożarowych.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Zakaz lokalizacji urządzeń wytwarzających energię z odnawialnych źróde</w:t>
      </w:r>
      <w:r>
        <w:rPr>
          <w:color w:val="000000"/>
          <w:u w:color="000000"/>
        </w:rPr>
        <w:t>ł energii, wykorzystujących energię wiatru – za wyjątkiem mikroinstalacji w rozumieniu ustawy z dnia 20 lutego 2015 r. o odnawialnych źródłach energii.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Zakaz lokalizacji instalacji fotowoltaicznych, w tym ich urządzeń, za wyjątkiem instalacji fotowoltai</w:t>
      </w:r>
      <w:r>
        <w:rPr>
          <w:color w:val="000000"/>
          <w:u w:color="000000"/>
        </w:rPr>
        <w:t>cznych, w tym ich urządzeń, służących wyłącznie zaspokajaniu potrzeb zabudowy zlokalizowanej na tej samej działce budowlanej. Zakaz ten nie dotyczy instalacji fotowoltaicznych na terenach oznaczonych na rysunku planu symbolami: 1U, 1P i 2P.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Ustala się m</w:t>
      </w:r>
      <w:r>
        <w:rPr>
          <w:color w:val="000000"/>
          <w:u w:color="000000"/>
        </w:rPr>
        <w:t>aksymalną wysokość obiektów budowlanych takich jak: garaże, oranżerie, budynki gospodarcze, wiaty odpowiadającą wysokości budynków dla poszczególnych terenów oraz przy uwzględnieniu ustaleń szczegółowych.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modernizacji, rozbudowy i budow</w:t>
      </w:r>
      <w:r>
        <w:rPr>
          <w:b/>
          <w:color w:val="000000"/>
          <w:u w:color="000000"/>
        </w:rPr>
        <w:t>y systemów komunikacji i infrastruktury technicznej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Ustala się obsługę komunikacyjną terenów z istniejącego oraz projektowanego układu drogowego.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Powiązania z zewnętrznym układem drogowo-ulicznym zapewnia się poprzez istniejącą ulicę Siemianowi</w:t>
      </w:r>
      <w:r>
        <w:rPr>
          <w:color w:val="000000"/>
          <w:u w:color="000000"/>
        </w:rPr>
        <w:t>cką (położoną w dużej części poza obszarem planu).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oraz klasyfikację dróg publicznych – zgodnie z warunkami zawartymi w § 21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niniejszej uchwały.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obsługi parkingowej na obszarze objętym planem ustala się: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</w:t>
      </w:r>
      <w:r>
        <w:rPr>
          <w:color w:val="000000"/>
          <w:u w:color="000000"/>
        </w:rPr>
        <w:t>zapewnienia miejsc parkingowych w granicach działki budowlanej w ilości dostosowanej do rodzaju zabudowy i skali prowadzonej działalności, przy czym ustala się następującą minimalną liczbę miejsc do parkowania: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dla zabudowy mieszkaniowej wielorodzinnej </w:t>
      </w:r>
      <w:r>
        <w:rPr>
          <w:color w:val="000000"/>
          <w:u w:color="000000"/>
        </w:rPr>
        <w:t>– 1,5 miejsca parkingowego na jedno mieszkanie,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zabudowy zamieszkania zbiorowego – 2 miejsca na 10 łóżek,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zabudowy produkcyjnej, logistyki, baz, składów i magazynów – 1 miejsce na 10 zatrudnionych lub 1 miejsce na 1000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</w:t>
      </w:r>
      <w:r>
        <w:rPr>
          <w:color w:val="000000"/>
          <w:u w:color="000000"/>
        </w:rPr>
        <w:t>j podstawowej,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lokali handlowych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 gastronomii – 1 miejsce na 10 miejsc konsumpcyjnych,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stacji obsługi maszyn i pojazdów mechanicznych – nie mniej niż 1 miejsce parkingowe na 10 za</w:t>
      </w:r>
      <w:r>
        <w:rPr>
          <w:color w:val="000000"/>
          <w:u w:color="000000"/>
        </w:rPr>
        <w:t>trudnionych pracowników,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innych, niewymienionych wyżej działalności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pojazdów zaopatrzonych w kartę parkingową: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</w:t>
      </w:r>
      <w:r>
        <w:rPr>
          <w:color w:val="000000"/>
          <w:u w:color="000000"/>
        </w:rPr>
        <w:t>kingowych wynosi 6 –15,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 stanowiska, jeżeli liczba miejsc parkingowych wynosi 16 – 40,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 stanowiska, jeżeli liczba miejsc parkingowych wynosi 41 – 100,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4% ogólnej liczby stanowisk, jeżeli ogólna liczba stanowisk wynosi więcej niż 100;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wl</w:t>
      </w:r>
      <w:r>
        <w:rPr>
          <w:color w:val="000000"/>
          <w:u w:color="000000"/>
        </w:rPr>
        <w:t>iczania powierzchni miejsc parkingowych, o których mowa w pkt 1 i 2, w powierzchnię biologicznie czynną działki budowlanej.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 liniach rozgraniczających dróg publicznych, dojazdów oraz ciągów </w:t>
      </w:r>
      <w:r>
        <w:rPr>
          <w:color w:val="000000"/>
          <w:u w:color="000000"/>
        </w:rPr>
        <w:t>pieszo-jezdnych;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braku możliwości przeprowadzenia sieci zgodnie z pkt 1, dopuszczenie ich realizacji: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teren, a wyznaczoną linią zabudowy,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granic nieruchomości lub w ich bezpośrednim sąsiedztwie;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</w:t>
      </w:r>
      <w:r>
        <w:t> </w:t>
      </w:r>
      <w:r>
        <w:rPr>
          <w:color w:val="000000"/>
          <w:u w:color="000000"/>
        </w:rPr>
        <w:t>dopuszczenie realizacji sieci infrastruktury technicznej w sposób inny niż określony w pkt 1 i 2, jeżeli nie spowoduje to ograniczenia ustalonego planem przeznaczenia terenu.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rozbudowę, przebudowę oraz zmianę przebiegu sieci i urządzeń in</w:t>
      </w:r>
      <w:r>
        <w:rPr>
          <w:color w:val="000000"/>
          <w:u w:color="000000"/>
        </w:rPr>
        <w:t>frastruktury technicznej zlokalizowanych w obszarze objętym planem, z zastrzeżeniem ust. 1, a w przypadku realizacji ich nowego przebiegu – dopuszczenie likwidacji dotychczasowych odcinków sieci lub urządzeń infrastruktury technicznej.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</w:t>
      </w:r>
      <w:r>
        <w:rPr>
          <w:color w:val="000000"/>
          <w:u w:color="000000"/>
        </w:rPr>
        <w:t>rzenia w wodę: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z miejskiej sieci wodociągowej;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sukcesywna rozbudowa sieci wodociągowej dla pokrycia potrzeb bytowych, użytkowych i przeciwpożarowych;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nakaz zapewnienia właściwego standardu zasilania w wodę dla ochrony </w:t>
      </w:r>
      <w:r>
        <w:rPr>
          <w:color w:val="000000"/>
          <w:u w:color="000000"/>
        </w:rPr>
        <w:t>przeciwpożarowej.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odprowadzania ścieków sanitarnych oraz wód deszczowych: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odprowadzanie ścieków sanitarnych do kanalizacji miejskiej, z zastrzeżeniem pkt 2 i 3;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dopuszczenie, do czasu realizacji kanalizacji sanitarnej, odprowadzenia ści</w:t>
      </w:r>
      <w:r>
        <w:rPr>
          <w:color w:val="000000"/>
          <w:u w:color="000000"/>
        </w:rPr>
        <w:t>eków sanitarnych zgodnie z przepisami ustawy z dnia 13 września 1996 r. o utrzymaniu czystości i porządku w gminach;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odprowadzania wód opadowych i roztopowych zgodnie z ustawą z dnia 20 lipca 2017 r. Prawo wodne;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sukcesywna budowa rozdzi</w:t>
      </w:r>
      <w:r>
        <w:rPr>
          <w:color w:val="000000"/>
          <w:u w:color="000000"/>
        </w:rPr>
        <w:t>elczej sieci kanalizacji sanitarnej;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nakaz stosowania urządzeń podczyszczających wody opadowe i roztopowe odprowadzane z terenów parkingów terenowych o powierzchni powyżej 0,1 ha.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zaopatrzenia w ciepło: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dostawa ciepła z miejskiej sieci </w:t>
      </w:r>
      <w:r>
        <w:rPr>
          <w:color w:val="000000"/>
          <w:u w:color="000000"/>
        </w:rPr>
        <w:t>ciepłowniczej zdalaczynnej, z zastrzeżeniem pkt 2;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grzewczych, w tym wykorzystujących odnawialne źródła energii.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W zakresie zaopatrzenia w gaz: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zasilanie w gaz ziemny w oparciu o istniejącą i projektowaną sieć </w:t>
      </w:r>
      <w:r>
        <w:rPr>
          <w:color w:val="000000"/>
          <w:u w:color="000000"/>
        </w:rPr>
        <w:t>gazową;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zaopatrzenia w gaz z indywidualnych zbiorników gazu.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zaopatrzenia w energię elektryczną: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 i projektowaną sieć elektroenergetyczną;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stosowania indywi</w:t>
      </w:r>
      <w:r>
        <w:rPr>
          <w:color w:val="000000"/>
          <w:u w:color="000000"/>
        </w:rPr>
        <w:t>dualnych urządzeń prądotwórczych wykorzystujących odnawialne źródła energii, z zastrzeżeniem § 12 ust. 4 i 5.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W zakresie telekomunikacji: rozbudowa sieci telekomunikacyjnej, budowa nowych urządzeń i sieci telekomunikacyjnych w celu zaspokojenia potrzeb </w:t>
      </w:r>
      <w:r>
        <w:rPr>
          <w:color w:val="000000"/>
          <w:u w:color="000000"/>
        </w:rPr>
        <w:t>w tym zakresie.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tymczasowego zagospodarowania, urządzania i użytkowania terenów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Nie ustala się sposobu i terminu tymczasowego zagospodarowania, urządzania i użytkowania terenów objętych planem.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Stawki </w:t>
      </w:r>
      <w:r>
        <w:rPr>
          <w:b/>
          <w:color w:val="000000"/>
          <w:u w:color="000000"/>
        </w:rPr>
        <w:t>procentowe, na podstawie których ustala się opłatę, o której mowa w art. 36 ust. 4 ustawy o planowaniu i zagospodarowaniu przestrzennym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Dla wszystkich terenów objętych planem określa się stawkę procentową, na podstawie której ustala się opłatę, o któ</w:t>
      </w:r>
      <w:r>
        <w:rPr>
          <w:color w:val="000000"/>
          <w:u w:color="000000"/>
        </w:rPr>
        <w:t>rej mowa w art. 36 ust. 4 ustawy z dnia 27 marca 2003 r. o planowaniu i zagospodarowaniu przestrzennym w wysokości 30% (słownie: trzydzieści procent).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 dla terenów o różnym przeznaczeniu lub różnych zasadach zagospodarowan</w:t>
      </w:r>
      <w:r>
        <w:rPr>
          <w:b/>
          <w:color w:val="000000"/>
          <w:u w:color="000000"/>
        </w:rPr>
        <w:t>ia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>Dla terenu oznaczonego na rysunku planu symbolem 1MW-U – teren zabudowy mieszkaniowej wielorodzinnej lub usług, ustala się: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wielorodzinnej,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hurtowego,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nauki,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kultu religijnego.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Ustala się warunki i zasady kształtowania zabudowy i zag</w:t>
      </w:r>
      <w:r>
        <w:rPr>
          <w:color w:val="000000"/>
          <w:u w:color="000000"/>
        </w:rPr>
        <w:t>ospodarowania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ze stałym pobytem dzieci i młodzieży, z zastrzeżeniem pkt 3;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pomieszczenia dydaktyczne i </w:t>
      </w:r>
      <w:r>
        <w:rPr>
          <w:color w:val="000000"/>
          <w:u w:color="000000"/>
        </w:rPr>
        <w:t>konferencyjne, służące szkoleniu zawodowemu i celom naukowo-badawczym;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garażowa może być realizowana wyłącznie jako: garaże wbudowane, garaże zbiorowe, garaże wielopoziomowe;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parkingi mogą być realizowane jako: miejsca postojowe, parkingi te</w:t>
      </w:r>
      <w:r>
        <w:rPr>
          <w:color w:val="000000"/>
          <w:u w:color="000000"/>
        </w:rPr>
        <w:t>renowe;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zabudowa usługowa może być realizowana: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jako budynki wolnostojące,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budynkach zabudowy wielorodzinnej na kondygnacji parteru, przy zapewnieniu bezpośredniego dostępu z zewnątrz budynku oraz zachowaniu jednolitej formy architektonicznej dl</w:t>
      </w:r>
      <w:r>
        <w:rPr>
          <w:color w:val="000000"/>
          <w:u w:color="000000"/>
        </w:rPr>
        <w:t>a całej kondygnacji, z zastrzeżeniem lit. c,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przypadku przeznaczenia parteru budynku dla realizacji garaży wbudowanych dopuszcza się realizację usług na kondygnacji nad garażami, przy zapewnieniu bezpośredniego dostępu z zewnątrz budynku oraz zachowan</w:t>
      </w:r>
      <w:r>
        <w:rPr>
          <w:color w:val="000000"/>
          <w:u w:color="000000"/>
        </w:rPr>
        <w:t>iu jednolitej formy architektonicznej dla całej kondygnacji.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</w:t>
      </w:r>
      <w:r>
        <w:rPr>
          <w:color w:val="000000"/>
          <w:u w:color="000000"/>
        </w:rPr>
        <w:t>alny wskaźnik nadziemnej intensywności zabudowy: od 0,001 do 2,0;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60%;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 z zastrzeżeniem lit. b,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18,0 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wielorodzinnej: czterospadowe, kąt nachylenia połaci dachowych: 45°,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pozostałej zabudowy: płaskie lub spadowe, przy czym dla dachów spadowych kąt na</w:t>
      </w:r>
      <w:r>
        <w:rPr>
          <w:color w:val="000000"/>
          <w:u w:color="000000"/>
        </w:rPr>
        <w:t>chylenia połaci dachowych: 45°.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Dla terenu oznaczonego na rysunku planu symbolem: 1U – teren usług ustala się: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przeznaczenie: teren usług;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elektrowni słonecznej,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parkingu;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kultu religijnego,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turystyki.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</w:t>
      </w:r>
      <w:r>
        <w:rPr>
          <w:color w:val="000000"/>
          <w:u w:color="000000"/>
        </w:rPr>
        <w:t xml:space="preserve"> obiektów zamieszkania zbiorowego, domów opieki społecznej i szpitali;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ze stałym pobytem dzieci i młodzieży, z zastrzeżeniem pkt 4;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realizacji pasa zieleni izolacyjnej o szerokości min. 10,0 m wzdłuż granicy te</w:t>
      </w:r>
      <w:r>
        <w:rPr>
          <w:color w:val="000000"/>
          <w:u w:color="000000"/>
        </w:rPr>
        <w:t>renu z terenem 1MW-U;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dopuszcza się pomieszczenia dydaktyczne i konferencyjne, służące szkoleniu zawodowemu i celom naukowo-badawczym;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zabudowa garażowa może być realizowana wyłącznie jako: garaże wbudowane, garaże zbiorowe, garaże wielopoziomowe, wi</w:t>
      </w:r>
      <w:r>
        <w:rPr>
          <w:color w:val="000000"/>
          <w:u w:color="000000"/>
        </w:rPr>
        <w:t>aty garażowe;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parkingi mogą być realizowane jako: miejsca postojowe, parkingi terenowe;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ramach przeznaczenia, o którym mowa w ust. 1 mogą być realizowane ogniwa fotowoltaiczne wytwarzające energię o mocy przekraczającej 500 kW wraz z zabudową z </w:t>
      </w:r>
      <w:r>
        <w:rPr>
          <w:color w:val="000000"/>
          <w:u w:color="000000"/>
        </w:rPr>
        <w:t>nimi związaną.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10%;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</w:t>
      </w:r>
      <w:r>
        <w:rPr>
          <w:color w:val="000000"/>
          <w:u w:color="000000"/>
        </w:rPr>
        <w:t>y: od 0,001 do 3,0;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30,0 m, z zastrzeżeniem lit. b,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</w:t>
      </w:r>
      <w:r>
        <w:rPr>
          <w:color w:val="000000"/>
          <w:u w:color="000000"/>
        </w:rPr>
        <w:t>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 lub spadowe, przy czym: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dla dachów spadowych kąt nachylenia połaci dachowych: 45°, zastrzeżeniem lit. b,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dachów mansardowych kąt nachylenia połaci dachowych dolnych partii mansardy: do 80°.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Dla terenu oznaczonego n</w:t>
      </w:r>
      <w:r>
        <w:rPr>
          <w:color w:val="000000"/>
          <w:u w:color="000000"/>
        </w:rPr>
        <w:t>a rysunku planu symbolem: 1P – teren usług lub produkcji ustala się: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produkcji;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parkingu,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stacji paliw płynnych,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gospodarowania odpadami;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kultu religijnego,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turystyki,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edukacji,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przemysłu portowego,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spalarni odpadów.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warunki i zasady </w:t>
      </w:r>
      <w:r>
        <w:rPr>
          <w:color w:val="000000"/>
          <w:u w:color="000000"/>
        </w:rPr>
        <w:t>kształtowania zabudowy i zagospodarowania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obiektów zamieszkania zbiorowego, domów opieki społecznej i szpitali;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 czasowym lub stałym pobytem dzieci i młodzieży, z zas</w:t>
      </w:r>
      <w:r>
        <w:rPr>
          <w:color w:val="000000"/>
          <w:u w:color="000000"/>
        </w:rPr>
        <w:t>trzeżeniem pkt 3;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pomieszczenia dydaktyczne i konferencyjne, służące szkoleniu zawodowemu i celom naukowo-badawczym;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zabudowa garażowa może być realizowana wyłącznie jako: garaże wbudowane, garaże zbiorowe, garaże wielopoziomowe, wiaty </w:t>
      </w:r>
      <w:r>
        <w:rPr>
          <w:color w:val="000000"/>
          <w:u w:color="000000"/>
        </w:rPr>
        <w:t>garażowe;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parkingi mogą być realizowane jako: miejsca postojowe, parkingi terenowe;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ramach przeznaczenia, o którym mowa w ust. 1 mogą być realizowane: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kW wraz z zabudową z nim</w:t>
      </w:r>
      <w:r>
        <w:rPr>
          <w:color w:val="000000"/>
          <w:u w:color="000000"/>
        </w:rPr>
        <w:t>i związaną,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ramach przeznaczenia, o którym mowa w ust. 1 dopuszcza się gospodarowanie odpadami – wyłącznie w zakresie wymienionym w § 6 ust. 6 pkt 4.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Ustala się parametry i wskaźniki kształtowania zabudowy oraz zagospodarowania</w:t>
      </w:r>
      <w:r>
        <w:rPr>
          <w:color w:val="000000"/>
          <w:u w:color="000000"/>
        </w:rPr>
        <w:t xml:space="preserve">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3,0;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50,0 m, z zastrzeżeniem lit. b i c,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instalacji technologicznych wymagających zabezpieczeń przed warunkami atmosferycznymi dopuszcza się obudowę w formie budynków o maksymalnej wys</w:t>
      </w:r>
      <w:r>
        <w:rPr>
          <w:color w:val="000000"/>
          <w:u w:color="000000"/>
        </w:rPr>
        <w:t>okości 50,0 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konstrukcje, przy czym dla dachów spadowych kąt nachylenia połaci dachowych do 45°.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Dla terenu oznaczonego na rysunku planu symbolem: 2P – t</w:t>
      </w:r>
      <w:r>
        <w:rPr>
          <w:color w:val="000000"/>
          <w:u w:color="000000"/>
        </w:rPr>
        <w:t>eren produkcji ustala się: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produkcji;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parkingu,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stacji paliw płynnych;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kultu religijnego,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turystyki,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edukacji,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przemysłu portowego.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obiektów zamieszkan</w:t>
      </w:r>
      <w:r>
        <w:rPr>
          <w:color w:val="000000"/>
          <w:u w:color="000000"/>
        </w:rPr>
        <w:t>ia zbiorowego, domów opieki społecznej i szpitali;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 czasowym lub stałym pobytem dzieci i młodzieży, z zastrzeżeniem pkt 3;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dopuszcza się pomieszczenia dydaktyczne i konferencyjne, służące szkoleniu zawodowemu i celo</w:t>
      </w:r>
      <w:r>
        <w:rPr>
          <w:color w:val="000000"/>
          <w:u w:color="000000"/>
        </w:rPr>
        <w:t>m naukowo-badawczym;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garażowa może być realizowana wyłącznie jako: garaże wbudowane, garaże zbiorowe, garaże wielopoziomowe, wiaty garażowe;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parkingi mogą być realizowane jako: miejsca postojowe, parkingi terenowe;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ramach przeznaczenia,</w:t>
      </w:r>
      <w:r>
        <w:rPr>
          <w:color w:val="000000"/>
          <w:u w:color="000000"/>
        </w:rPr>
        <w:t xml:space="preserve"> o którym mowa w ust. 1 mogą być realizowane: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ogniwa fotowoltaiczne wytwarzające energię o mocy przekraczającej 500 kW wraz z zabudową z nimi związaną,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magazyny energii;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ustala się nakaz realizacji pasa zieleni izolacyjnej o szerokości min. 15,0 m</w:t>
      </w:r>
      <w:r>
        <w:rPr>
          <w:color w:val="000000"/>
          <w:u w:color="000000"/>
        </w:rPr>
        <w:t xml:space="preserve"> wzdłuż południowej granicy terenu, tj. wzdłuż granicy z zespołem przyrodniczo-krajobrazowym „Żabie Doły”.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</w:t>
      </w:r>
      <w:r>
        <w:rPr>
          <w:color w:val="000000"/>
          <w:u w:color="000000"/>
        </w:rPr>
        <w:t>ologicznie czynnej: 20%;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3,0;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70%;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50,0 m, z zastrzeżeniem lit. b i c,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25,0 m,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instalacji technologicznych wymagających zabezpieczeń przed warunkami atmosferycznymi dopuszcza się obudowę w formie budynków o maksymalnej wysokości 50,0 m;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</w:t>
      </w:r>
      <w:r>
        <w:rPr>
          <w:color w:val="000000"/>
          <w:u w:color="000000"/>
        </w:rPr>
        <w:t>iem planu;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wszystkie formy i konstrukcje, przy czym dla dachów spadowych kąt nachylenia połaci dachowych do 30°.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 xml:space="preserve">Dla terenu oznaczonego na rysunku planu symbolem 1KDZ ustala się przeznaczenie: teren drogi zbiorczej. 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</w:t>
      </w:r>
      <w:r>
        <w:rPr>
          <w:color w:val="000000"/>
          <w:u w:color="000000"/>
        </w:rPr>
        <w:t>ość w liniach rozgraniczających: 6,0 m – zgodnie z rysunkiem planu, jako poszerzenie istniejącej ul. Siemianowickiej.</w:t>
      </w:r>
    </w:p>
    <w:p w:rsidR="00A77B3E" w:rsidRDefault="004740C4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23. </w:t>
      </w:r>
      <w:r>
        <w:rPr>
          <w:color w:val="000000"/>
          <w:u w:color="000000"/>
        </w:rPr>
        <w:t>Uchwała wchodzi w życie po upływie 30 dni od dnia jej ogłoszenia w Dzienniku Urzędowym Województwa Śląskiego.</w:t>
      </w:r>
    </w:p>
    <w:p w:rsidR="00A77B3E" w:rsidRDefault="004740C4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4740C4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</w:t>
      </w:r>
      <w:r>
        <w:rPr>
          <w:color w:val="000000"/>
          <w:u w:color="000000"/>
        </w:rPr>
        <w:t>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4740C4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rozpatrzenia nieuwzględnionych uwag do projektu planu</w:t>
      </w:r>
    </w:p>
    <w:p w:rsidR="00A77B3E" w:rsidRDefault="004740C4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planowaniu i zagospodarowaniu</w:t>
      </w:r>
      <w:r>
        <w:rPr>
          <w:color w:val="000000"/>
          <w:u w:color="000000"/>
        </w:rPr>
        <w:t xml:space="preserve"> przestrzennym (Dz. U. z 2024 r. poz. 1130, z późn. zm.) w związku z art. 67 ust. 3 ustawy z dnia 7 lipca 2023 r. o zmianie ustawy o planowaniu i zagospodarowaniu przestrzennym oraz niektórych innych ustaw (Dz. U. z 2023 r. poz. 1688) rozstrzyga się, co na</w:t>
      </w:r>
      <w:r>
        <w:rPr>
          <w:color w:val="000000"/>
          <w:u w:color="000000"/>
        </w:rPr>
        <w:t>stępuje: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Nie uwzględnia się w części uwagi, nieuwzględnionej w części przez Prezydenta Miasta, zgłoszonej do wyłożonego do publicznego wglądu projektu planu, wyszczególnionej pod nr 1.1. w „Wykazie uwag zgłoszonych do wyłożonego do publicznego </w:t>
      </w:r>
      <w:r>
        <w:rPr>
          <w:color w:val="000000"/>
          <w:u w:color="000000"/>
        </w:rPr>
        <w:t>wglądu projektu miejscowego planu zagospodarowania przestrzennego Gminy Bytom – etap IV – dla terenu położonego w rejonie ulicy Siemianowickiej”, zamieszczonym w dokumentacji prac planistycznych, dotyczącej uszczegółowienia zapisów planu dla terenu położon</w:t>
      </w:r>
      <w:r>
        <w:rPr>
          <w:color w:val="000000"/>
          <w:u w:color="000000"/>
        </w:rPr>
        <w:t xml:space="preserve">ego w Bytomiu przy ul. Siemianowickiej, oznaczonego w projekcie planu symbolem 1P, poprzez: 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dopisanie w § 6 ust. 1 pkt 2 lit. k) tekstu:  instalacje do przetwarzania odpadów niebezpiecznych i innych niż niebezpieczne;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zmianę brzmienia § 6 ust. 1 pkt</w:t>
      </w:r>
      <w:r>
        <w:rPr>
          <w:color w:val="000000"/>
          <w:u w:color="000000"/>
        </w:rPr>
        <w:t> 3 lit. a) w następujący sposób:  instalacji do przetwarzania odpadów niebezpiecznych i innych niż niebezpieczne z wyłączeniem składowisk odpadów niebezpiecznych oraz miejsc retencji powierzchniowej odpadów niebezpiecznych.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w części u</w:t>
      </w:r>
      <w:r>
        <w:rPr>
          <w:color w:val="000000"/>
          <w:u w:color="000000"/>
        </w:rPr>
        <w:t xml:space="preserve">wagi, o której mowa w ust. 1, w związku z tym, iż obecne zapisy projektu planu zawarte w § 6 ust. 1 pkt 3 lit. a i d oraz w § 6 ust. 1 pkt 4 umożliwiają prowadzenie działalności we wnioskowanym zakresie, w tym w oparciu o uzyskane decyzje na przetwarzanie </w:t>
      </w:r>
      <w:r>
        <w:rPr>
          <w:color w:val="000000"/>
          <w:u w:color="000000"/>
        </w:rPr>
        <w:t>odpadów.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Nie uwzględnia się w części uwagi, nieuwzględnionej w części przez Prezydenta Miasta, zgłoszonej do wyłożonego do publicznego wglądu projektu planu, wyszczególnionej pod nr 1.2. w „Wykazie uwag zgłoszonych do wyłożonego do publicznego wglą</w:t>
      </w:r>
      <w:r>
        <w:rPr>
          <w:color w:val="000000"/>
          <w:u w:color="000000"/>
        </w:rPr>
        <w:t xml:space="preserve">du projektu miejscowego planu zagospodarowania przestrzennego Gminy Bytom – etap IV – dla terenu położonego w rejonie ulicy Siemianowickiej”, zamieszczonym w dokumentacji prac planistycznych, dotyczącej uszczegółowienia zapisów planu dla terenu położonego </w:t>
      </w:r>
      <w:r>
        <w:rPr>
          <w:color w:val="000000"/>
          <w:u w:color="000000"/>
        </w:rPr>
        <w:t>w Bytomiu przy ul. Siemianowickiej, oznaczonego w projekcie planu symbolem 1P, poprzez zmianę brzmienia § 6 ust. 6 pkt 3 w następujący sposób: dopuszczenie dla działalności prowadzonych na terenach objętych planem, magazynowania odpadów powstałych w wyniku</w:t>
      </w:r>
      <w:r>
        <w:rPr>
          <w:color w:val="000000"/>
          <w:u w:color="000000"/>
        </w:rPr>
        <w:t xml:space="preserve"> tej działalności wyłącznie w budynkach, lub zadaszonych wiatach lub innych miejscach do tego przeznaczonych.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Nie uwzględnia się w części uwagi, o której mowa w ust. 1, w związku z tym, iż obecne ustalenia projektu planu zawarte w § 6 ust. 6 pkt 4 lit. </w:t>
      </w:r>
      <w:r>
        <w:rPr>
          <w:color w:val="000000"/>
          <w:u w:color="000000"/>
        </w:rPr>
        <w:t>c umożliwiają składowanie odpadów w miejscach wskazanych w uzyskanych decyzjach na przetwarzanie i wytwarzanie odpadów.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Nie uwzględnia się w części uwagi, nieuwzględnionej w części przez Prezydenta Miasta, zgłoszonej do wyłożonego do publicznego wg</w:t>
      </w:r>
      <w:r>
        <w:rPr>
          <w:color w:val="000000"/>
          <w:u w:color="000000"/>
        </w:rPr>
        <w:t>lądu projektu planu, wyszczególnionej pod nr 1.3. w „Wykazie uwag zgłoszonych do wyłożonego do publicznego wglądu projektu miejscowego planu zagospodarowania przestrzennego Gminy Bytom – etap IV – dla terenu położonego w rejonie ulicy Siemianowickiej”, zam</w:t>
      </w:r>
      <w:r>
        <w:rPr>
          <w:color w:val="000000"/>
          <w:u w:color="000000"/>
        </w:rPr>
        <w:t>ieszczonym w dokumentacji prac planistycznych, dotyczącej uszczegółowienia zapisów planu dla terenu położonego w Bytomiu przy ul. Siemianowickiej, oznaczonego w projekcie planu symbolem 1P, poprzez zmianę brzmienia § 6 ust. 6 pkt 4 lit. b) w następujący sp</w:t>
      </w:r>
      <w:r>
        <w:rPr>
          <w:color w:val="000000"/>
          <w:u w:color="000000"/>
        </w:rPr>
        <w:t>osób: zbierania, magazynowania, odzysku i recyklingu odpadów, odzysku poza instalacjami i urządzeniami, wydobywania odpadów.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w części uwagi, o której mowa w ust. 1, w związku z tym, iż działalność określona w uzyskanych decyzjach na w</w:t>
      </w:r>
      <w:r>
        <w:rPr>
          <w:color w:val="000000"/>
          <w:u w:color="000000"/>
        </w:rPr>
        <w:t>ydobywanie i przetwarzanie odpadów może być kontynuowana na zasadach w nich opisanych.</w:t>
      </w:r>
      <w:r>
        <w:rPr>
          <w:color w:val="000000"/>
          <w:u w:color="000000"/>
        </w:rPr>
        <w:br/>
        <w:t>Jednocześnie doprecyzowano w tym zakresie zapis § 6 ust. 6 pkt 4 lit. c projektu planu.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Nie uwzględnia się  uwagi, nieuwzględnionej przez Prezydenta Miasta, zgło</w:t>
      </w:r>
      <w:r>
        <w:rPr>
          <w:color w:val="000000"/>
          <w:u w:color="000000"/>
        </w:rPr>
        <w:t>szonej do wyłożonego do publicznego wglądu projektu planu, wyszczególnionej pod nr 1.4. w „Wykazie uwag zgłoszonych do wyłożonego do publicznego wglądu projektu miejscowego planu zagospodarowania przestrzennego Gminy Bytom – etap IV – dla terenu położonego</w:t>
      </w:r>
      <w:r>
        <w:rPr>
          <w:color w:val="000000"/>
          <w:u w:color="000000"/>
        </w:rPr>
        <w:t xml:space="preserve"> w rejonie ulicy Siemianowickiej”, zamieszczonym w dokumentacji prac planistycznych i dotyczącej uszczegółowienia zapisów planu dla terenu położonego w Bytomiu przy ul. Siemianowickiej, oznaczonego w projekcie planu symbolem 1P, poprzez zmianę brzmienia § </w:t>
      </w:r>
      <w:r>
        <w:rPr>
          <w:color w:val="000000"/>
          <w:u w:color="000000"/>
        </w:rPr>
        <w:t>6 ust. 7 pkt 2 w następujący sposób: nakaz zagospodarowania zielenią urządzoną lub izolacyjną powierzchni niezabudowanych lub nieutwardzonych, z wyłączeniem terenu 1P.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Nie uwzględnia się uwagi, o której mowa w ust. 1, bowiem część niezabudowana działki </w:t>
      </w:r>
      <w:r>
        <w:rPr>
          <w:color w:val="000000"/>
          <w:u w:color="000000"/>
        </w:rPr>
        <w:t>– w celu spełnienia określonego dla danego terenu minimalnego wskaźnika powierzchni biologicznie czynnej – musi stanowić teren porośnięty zielenią, zapewniając naturalną wegetację roślin i retencję wód opadowych i roztopowych. Zapis o nakazie zagospodarowa</w:t>
      </w:r>
      <w:r>
        <w:rPr>
          <w:color w:val="000000"/>
          <w:u w:color="000000"/>
        </w:rPr>
        <w:t>nia zielenią urządzoną lub izolacyjną powierzchni niezabudowanych lub nieutwardzonych w żadnym wypadku nie blokuje możliwości inwestycyjnych. Służy jedynie do zazielenienia terenu – w celu spełnienia wskaźnika odnoszącego się do powierzchni biologicznie cz</w:t>
      </w:r>
      <w:r>
        <w:rPr>
          <w:color w:val="000000"/>
          <w:u w:color="000000"/>
        </w:rPr>
        <w:t>ynnej, podanego w Rozdziale 13 projektu planu.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t>1. </w:t>
      </w:r>
      <w:r>
        <w:rPr>
          <w:color w:val="000000"/>
          <w:u w:color="000000"/>
        </w:rPr>
        <w:t>Nie uwzględnia się w części uwagi, nieuwzględnionej w części przez Prezydenta Miasta, zgłoszonej do wyłożonego do publicznego wglądu projektu planu, wyszczególnionej pod nr 1.5. w „Wykazie uwag zgłoszo</w:t>
      </w:r>
      <w:r>
        <w:rPr>
          <w:color w:val="000000"/>
          <w:u w:color="000000"/>
        </w:rPr>
        <w:t>nych do wyłożonego do publicznego wglądu projektu miejscowego planu zagospodarowania przestrzennego Gminy Bytom – etap IV – dla terenu położonego w rejonie ulicy Siemianowickiej”, zamieszczonym w dokumentacji prac planistycznych i dotyczącej uszczegółowien</w:t>
      </w:r>
      <w:r>
        <w:rPr>
          <w:color w:val="000000"/>
          <w:u w:color="000000"/>
        </w:rPr>
        <w:t>ia zapisów planu dla terenu położonego w Bytomiu przy ul. Siemianowickiej, oznaczonego w projekcie planu symbolem 1U, poprzez zmianę brzmienia § 18 ust. 2 pkt 7 w następujący sposób: w ramach przeznaczenia, o którym mowa w ust. 1 mogą być realizowane ogniw</w:t>
      </w:r>
      <w:r>
        <w:rPr>
          <w:color w:val="000000"/>
          <w:u w:color="000000"/>
        </w:rPr>
        <w:t>a fotowoltaiczne wytwarzające energię o mocy przekraczającej 500 kW wraz z zabudową z nimi związaną oraz magazynem energii.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Nie uwzględnia się w części uwagi, o której mowa</w:t>
      </w:r>
      <w:r>
        <w:rPr>
          <w:color w:val="000000"/>
          <w:u w:color="000000"/>
        </w:rPr>
        <w:t xml:space="preserve"> w ust. 1, w związku z tym, iż dla terenu 1U w § 18 ust. 2 pkt 7 projektu planu zapisano możliwość realizacji ogniw fotowoltaicznych wytwarzających energię o mocy przekraczającej 500 kW wraz z zabudową z nimi związaną. Określenie „zabudowa z nimi związana”</w:t>
      </w:r>
      <w:r>
        <w:rPr>
          <w:color w:val="000000"/>
          <w:u w:color="000000"/>
        </w:rPr>
        <w:t xml:space="preserve"> oznacza m. in. także  magazyny energii, stanowiące część instalacji odnawialnego źródła energii.</w:t>
      </w:r>
    </w:p>
    <w:p w:rsidR="00A77B3E" w:rsidRDefault="004740C4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4740C4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realizacji, zapisanych</w:t>
      </w:r>
      <w:r>
        <w:rPr>
          <w:b/>
          <w:color w:val="000000"/>
          <w:u w:color="000000"/>
        </w:rPr>
        <w:t xml:space="preserve"> w planie inwestycji z zakresu infrastruktury technicznej, które należą do zadań własnych gminy oraz zasadach ich finansowania, zgodnie z przepisami o finansach publicznych</w:t>
      </w:r>
    </w:p>
    <w:p w:rsidR="00A77B3E" w:rsidRDefault="004740C4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planowaniu i zagospoda</w:t>
      </w:r>
      <w:r>
        <w:rPr>
          <w:color w:val="000000"/>
          <w:u w:color="000000"/>
        </w:rPr>
        <w:t>rowaniu przestrzennym (Dz. U. z 2024 r. poz. 1130, z późn. zm.) w związku z art. 67 ust. 3 ustawy z dnia 7 lipca 2023 r. o zmianie ustawy o planowaniu i zagospodarowaniu przestrzennym oraz niektórych innych ustaw (Dz. U. z 2023 r. poz. 1688) rozstrzyga się</w:t>
      </w:r>
      <w:r>
        <w:rPr>
          <w:color w:val="000000"/>
          <w:u w:color="000000"/>
        </w:rPr>
        <w:t>, co następuje: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 związku z uchwaleniem miejscowego planu zagospodarowania przestrzennego Gminy Bytom – etap IV – dla terenu położonego w rejonie ulicy Siemianowickiej, Gmina Bytom może ponieść wydatki na inwestycje z zakresu infrastruktury </w:t>
      </w:r>
      <w:r>
        <w:rPr>
          <w:color w:val="000000"/>
          <w:u w:color="000000"/>
        </w:rPr>
        <w:t>technicznej i dróg.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 będą: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budżet gminy;</w:t>
      </w:r>
    </w:p>
    <w:p w:rsidR="00A77B3E" w:rsidRDefault="004740C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współfinansowanie środkami zewnętrznymi, poprzez budżet gminy – w ramach m. in.: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samorządu województwa,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</w:t>
      </w:r>
      <w:r>
        <w:rPr>
          <w:color w:val="000000"/>
          <w:u w:color="000000"/>
        </w:rPr>
        <w:t>pożyczek z funduszy celowych,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4740C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zewnętrznych.</w:t>
      </w:r>
    </w:p>
    <w:p w:rsidR="00A77B3E" w:rsidRDefault="004740C4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Prognozowany okres realizacji inwestycji, wymienionych w § 1 ust. 1 przyjm</w:t>
      </w:r>
      <w:r>
        <w:rPr>
          <w:color w:val="000000"/>
          <w:u w:color="000000"/>
        </w:rPr>
        <w:t>uje się sukcesywnie, w miarę pozyskiwania środków finansowych oraz w oparciu o aktualne potrzeby mieszkańców, określane w budżetach rocznych.</w:t>
      </w:r>
    </w:p>
    <w:p w:rsidR="00A77B3E" w:rsidRDefault="004740C4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Zalacznik4.xml</w:t>
        </w:r>
      </w:hyperlink>
    </w:p>
    <w:p w:rsidR="00A77B3E" w:rsidRDefault="004740C4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 xml:space="preserve">Dane przestrzenne, o których mowa w art. 67a ust. 3 i 5 ustawy z dnia 27 marca 2003 r. o planowaniu i zagospodarowaniu przestrzennym </w:t>
      </w:r>
      <w:r>
        <w:rPr>
          <w:b/>
          <w:color w:val="000000"/>
          <w:u w:color="000000"/>
        </w:rPr>
        <w:t>(j.t. Dz.U. z 2020 r. poz. 293 z późn. zm.) ujawnione zostaną po kliknięciu w ikonę</w:t>
      </w:r>
    </w:p>
    <w:p w:rsidR="000B32ED" w:rsidRDefault="000B32ED">
      <w:pPr>
        <w:rPr>
          <w:rFonts w:eastAsia="Times New Roman" w:cs="Times New Roman"/>
          <w:szCs w:val="20"/>
        </w:rPr>
      </w:pPr>
    </w:p>
    <w:p w:rsidR="000B32ED" w:rsidRDefault="004740C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IV – dla terenu położonego w rejonie ulicy Siemianowickiej opracowany został na podstawie uc</w:t>
      </w:r>
      <w:r>
        <w:rPr>
          <w:rFonts w:eastAsia="Times New Roman" w:cs="Times New Roman"/>
          <w:szCs w:val="20"/>
        </w:rPr>
        <w:t>hwały nr LXXII/915/22 Rady Miejskiej w Bytomiu z dnia 19 grudnia 2022 r. w sprawie przystąpienia do sporządzenia miejscowego planu zagospodarowania przestrzennego Gminy Bytom i stanowi IV etap realizacji tejże uchwały.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</w:t>
      </w:r>
      <w:r>
        <w:rPr>
          <w:rFonts w:eastAsia="Times New Roman" w:cs="Times New Roman"/>
          <w:szCs w:val="20"/>
        </w:rPr>
        <w:t>ni ok. 60 ha obejmuje fragment Bytomia ograniczony od południa terenami kolejowymi oraz północną granicą zespołu przyrodniczo-krajobrazowego „Żabie Doły”, od zachodu – al. Jana Pawła II, od północy – ul. Siemianowicką, od wschodu – granicą miasta.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</w:t>
      </w:r>
      <w:r>
        <w:rPr>
          <w:rFonts w:eastAsia="Times New Roman" w:cs="Times New Roman"/>
          <w:szCs w:val="20"/>
        </w:rPr>
        <w:t>planu został sporządzony z uwzględnieniem zasad planowania przestrzennego i nie narusza ustaleń „Studium uwarunkowań i kierunków zagospodarowania przestrzennego Gminy Bytom”, przyjętego uchwałą nr XVI/204/11 Rady Miejskiej w Bytomiu z dnia 24 sierpnia 2011</w:t>
      </w:r>
      <w:r>
        <w:rPr>
          <w:rFonts w:eastAsia="Times New Roman" w:cs="Times New Roman"/>
          <w:szCs w:val="20"/>
        </w:rPr>
        <w:t> r., zmienionego uchwałą nr X/120/13 Rady Miejskiej w Bytomiu z dnia 25 lutego 2013 r., uchwałą nr XXXVIII/485/17 Rady Miejskiej w Bytomiu z dnia 27 lutego 2017 r., uchwałą nr LXI/814/18 Rady Miejskiej w Bytomiu z dnia 26 marca 2018 r., uchwałą nr LXIV/839</w:t>
      </w:r>
      <w:r>
        <w:rPr>
          <w:rFonts w:eastAsia="Times New Roman" w:cs="Times New Roman"/>
          <w:szCs w:val="20"/>
        </w:rPr>
        <w:t>/18 Rady Miejskiej w Bytomiu z dnia 28 maja 2018 r., uchwałą nr XXXII/463/20 Rady Miejskiej w Bytomiu z dnia 28 września 2020 r., uchwałą nr XL/549/21 Rady Miejskiej w Bytomiu z dnia 22 lutego 2021 r., uchwałą nr LXXVI/968/23 Rady Miejskiej w Bytomiu z dni</w:t>
      </w:r>
      <w:r>
        <w:rPr>
          <w:rFonts w:eastAsia="Times New Roman" w:cs="Times New Roman"/>
          <w:szCs w:val="20"/>
        </w:rPr>
        <w:t>a 27 marca 2023 r., uchwałą nr LXXX/1008/23 Rady Miejskiej w Bytomiu z dnia 26 czerwca 2023 r. oraz uchwałą nr LXXXVI/1078/23 Rady Miejskiej w Bytomiu z dnia 27 listopada 2023 r.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</w:t>
      </w:r>
      <w:r>
        <w:rPr>
          <w:rFonts w:eastAsia="Times New Roman" w:cs="Times New Roman"/>
          <w:szCs w:val="20"/>
        </w:rPr>
        <w:t>rca 2003 r. o planowaniu i zagospodarowaniu przestrzennym (Dz. U. z 2024 r. poz. 1130, z późn. zm.), w szczególności na podstawie art. 17 tej ustawy oraz w związku z art. 67 ust. 3 ustawy z dnia 7 lipca 2023 r. o zmianie ustawy o planowaniu i zagospodarowa</w:t>
      </w:r>
      <w:r>
        <w:rPr>
          <w:rFonts w:eastAsia="Times New Roman" w:cs="Times New Roman"/>
          <w:szCs w:val="20"/>
        </w:rPr>
        <w:t>niu przestrzennym oraz niektórych innych ustaw (Dz. U. z 2023 r. poz. 1688).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 – 4 ustawy o planowaniu i zagospodarowaniu przestrzennym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</w:t>
      </w:r>
      <w:r>
        <w:rPr>
          <w:rFonts w:eastAsia="Times New Roman" w:cs="Times New Roman"/>
          <w:szCs w:val="20"/>
        </w:rPr>
        <w:t>ry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</w:t>
      </w:r>
      <w:r>
        <w:rPr>
          <w:rFonts w:eastAsia="Times New Roman" w:cs="Times New Roman"/>
          <w:szCs w:val="20"/>
        </w:rPr>
        <w:t>niu wymagań ładu przestrzennego, w tym urbanistyki i architektury.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</w:t>
      </w:r>
      <w:r>
        <w:rPr>
          <w:rFonts w:eastAsia="Times New Roman" w:cs="Times New Roman"/>
          <w:szCs w:val="20"/>
        </w:rPr>
        <w:t xml:space="preserve">obrazu, w tym m. in. w zakresie stosowania materiałów elewacyjnych i kolorystyki elewacji budynków. Są to czynniki wpływające niewątpliwie na możliwość kształtowania krajobrazu </w:t>
      </w:r>
      <w:r>
        <w:rPr>
          <w:rFonts w:eastAsia="Times New Roman" w:cs="Times New Roman"/>
          <w:szCs w:val="20"/>
        </w:rPr>
        <w:lastRenderedPageBreak/>
        <w:t>i architektury oraz ochronę występujących na tym terenie walorów tak architekto</w:t>
      </w:r>
      <w:r>
        <w:rPr>
          <w:rFonts w:eastAsia="Times New Roman" w:cs="Times New Roman"/>
          <w:szCs w:val="20"/>
        </w:rPr>
        <w:t>nicznych jak i krajobrazowych.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krajobrazu,</w:t>
      </w:r>
      <w:r>
        <w:rPr>
          <w:rFonts w:eastAsia="Times New Roman" w:cs="Times New Roman"/>
          <w:szCs w:val="20"/>
        </w:rPr>
        <w:t xml:space="preserve">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</w:t>
      </w:r>
      <w:r>
        <w:rPr>
          <w:rFonts w:eastAsia="Times New Roman" w:cs="Times New Roman"/>
          <w:szCs w:val="20"/>
        </w:rPr>
        <w:t>ojekt planu nie obejmuje gruntów rolnych oraz leśnych podlegających ochronie, w związku z czym nie jest wymagane ustalenie zasad ich ochrony.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obszarze planu występują udokumentowane złoża kopalin (węgla kamiennego), dla których zasady ochrony określają </w:t>
      </w:r>
      <w:r>
        <w:rPr>
          <w:rFonts w:eastAsia="Times New Roman" w:cs="Times New Roman"/>
          <w:szCs w:val="20"/>
        </w:rPr>
        <w:t>przepisy ustawy z dnia 9 czerwca 2011 r. Prawo geologiczne i górnicze.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i obiekty budowlane o wartościach kulturowych ujęte</w:t>
      </w:r>
      <w:r>
        <w:rPr>
          <w:rFonts w:eastAsia="Times New Roman" w:cs="Times New Roman"/>
          <w:szCs w:val="20"/>
        </w:rPr>
        <w:t xml:space="preserve"> w gminnej ewidencji zabytków, dla których – w celu ich ochrony – określono nakazy, zakazy i dopuszczenia.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stanowiska archeologiczne, jak również nie występują dobra kultury współczesnej, w związku z czym pl</w:t>
      </w:r>
      <w:r>
        <w:rPr>
          <w:rFonts w:eastAsia="Times New Roman" w:cs="Times New Roman"/>
          <w:szCs w:val="20"/>
        </w:rPr>
        <w:t>an nie ustala wymogów ich ochrony.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</w:t>
      </w:r>
      <w:r>
        <w:rPr>
          <w:rFonts w:eastAsia="Times New Roman" w:cs="Times New Roman"/>
          <w:szCs w:val="20"/>
        </w:rPr>
        <w:t>mi (Dz. U. z 2022 r. poz. 2240)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 ludzi i mienia, a także potrzeby osób ze szczególnymi potrzebami. Zapisy mające na celu ochronę zdrowia oraz bezpieczeństwa ludz</w:t>
      </w:r>
      <w:r>
        <w:rPr>
          <w:rFonts w:eastAsia="Times New Roman" w:cs="Times New Roman"/>
          <w:szCs w:val="20"/>
        </w:rPr>
        <w:t>i i mienia zawarto m. in. w ustaleniach dotyczących ochrony akustycznej, ochrony przed promieniowaniem elektromagnetycznym, ochrony powietrza, ochrony powierzchni ziemi oraz postępowania z odpadami. Projekt planu określa również liczbę miejsc do parkowania</w:t>
      </w:r>
      <w:r>
        <w:rPr>
          <w:rFonts w:eastAsia="Times New Roman" w:cs="Times New Roman"/>
          <w:szCs w:val="20"/>
        </w:rPr>
        <w:t xml:space="preserve"> dla pojazdów zaopatrzonych w kartę parkingową.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</w:t>
      </w:r>
      <w:r>
        <w:rPr>
          <w:rFonts w:eastAsia="Times New Roman" w:cs="Times New Roman"/>
          <w:szCs w:val="20"/>
        </w:rPr>
        <w:t>mi w „Studium uwarunkowań i kierunków zagospodarowania przestrzennego Gminy Bytom”, uwzględnia walory ekonomiczne przestrzeni. W projekcie planu dla wszystkich terenów określono stawkę procentową służącą naliczaniu opłaty z tytułu wzrostu wartości nierucho</w:t>
      </w:r>
      <w:r>
        <w:rPr>
          <w:rFonts w:eastAsia="Times New Roman" w:cs="Times New Roman"/>
          <w:szCs w:val="20"/>
        </w:rPr>
        <w:t>mości w wysokości 30%.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7. Prawo własności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</w:t>
      </w:r>
      <w:r>
        <w:rPr>
          <w:rFonts w:eastAsia="Times New Roman" w:cs="Times New Roman"/>
          <w:szCs w:val="20"/>
        </w:rPr>
        <w:t>ublicznych do odpowiednich parametrów, może zajść konieczność pozyskania części nieruchomości niebędących własnością Gminy Bytom.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</w:t>
      </w:r>
      <w:r>
        <w:rPr>
          <w:rFonts w:eastAsia="Times New Roman" w:cs="Times New Roman"/>
          <w:szCs w:val="20"/>
        </w:rPr>
        <w:t>o użytkowania wyznaczonym dla obiektów wojskowych i nie jest terenem zamkniętym. Nie występują na nim tereny ani obiekty służące obronności i bezpieczeństwu państwa. W toku procedury planistycznej stosowne organy wojskowe, ochrony granic i bezpieczeństwa p</w:t>
      </w:r>
      <w:r>
        <w:rPr>
          <w:rFonts w:eastAsia="Times New Roman" w:cs="Times New Roman"/>
          <w:szCs w:val="20"/>
        </w:rPr>
        <w:t>aństwa zostały zawiadomione o przystąpieniu do sporządzenia przedmiotowego planu, a przedstawiony im projekt planu uzgodniły pozytywnie.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</w:t>
      </w:r>
      <w:r>
        <w:rPr>
          <w:rFonts w:eastAsia="Times New Roman" w:cs="Times New Roman"/>
          <w:szCs w:val="20"/>
        </w:rPr>
        <w:t> tym m. in. poprzez realizację inwestycji celu publicznego, takich jak np. budowa niezbędnej infrastruktury technicznej.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zawiera </w:t>
      </w:r>
      <w:r>
        <w:rPr>
          <w:rFonts w:eastAsia="Times New Roman" w:cs="Times New Roman"/>
          <w:szCs w:val="20"/>
        </w:rPr>
        <w:t>ustalenia dotyczące zasad modernizacji, rozbudowy i budowy systemów infrastruktury technicznej.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</w:t>
      </w:r>
      <w:r>
        <w:rPr>
          <w:rFonts w:eastAsia="Times New Roman" w:cs="Times New Roman"/>
          <w:szCs w:val="20"/>
        </w:rPr>
        <w:t>wnienie udziału społeczeństwa w pracach nad miejscowym planem zagospodarowania przestrzennego, w tym przy użyciu środków komunikacji elektronicznej, zostało zrealizowane poprzez: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1) zamieszczenie ogłoszeń w prasie, na stronie internetowej miasta oraz </w:t>
      </w:r>
      <w:r>
        <w:rPr>
          <w:rFonts w:eastAsia="Times New Roman" w:cs="Times New Roman"/>
          <w:szCs w:val="20"/>
        </w:rPr>
        <w:t>w Biuletynie Informacji Publicznej i obwieszczenia na tablicy ogłoszeń Urzędu Miejskiego w Bytomiu o: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IV – dla terenu poło</w:t>
      </w:r>
      <w:r>
        <w:rPr>
          <w:rFonts w:eastAsia="Times New Roman" w:cs="Times New Roman"/>
          <w:szCs w:val="20"/>
        </w:rPr>
        <w:t>żonego w rejonie ulicy Siemianowickiej, możliwości składania wniosków i uwag oraz możliwości zapoznania się z dokumentacją sprawy,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</w:t>
      </w:r>
      <w:r>
        <w:rPr>
          <w:rFonts w:eastAsia="Times New Roman" w:cs="Times New Roman"/>
          <w:szCs w:val="20"/>
        </w:rPr>
        <w:t xml:space="preserve"> Gminy Bytom – etap IV – dla terenu położonego w rejonie ulicy Siemianowickiej wraz z prognozą oddziaływania na środowisko, możliwości składania wniosków i uwag, możliwości zapoznania się z niezbędną dokumentacją sprawy oraz o udostępnieniu projektu planu </w:t>
      </w:r>
      <w:r>
        <w:rPr>
          <w:rFonts w:eastAsia="Times New Roman" w:cs="Times New Roman"/>
          <w:szCs w:val="20"/>
        </w:rPr>
        <w:t>do wglądu w formie elektronicznej;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2) przeprowadzenie w dniach od 1 lipca 2025 r. do 30 lipca 2025 r. wyłożenia do publicznego wglądu projektu miejscowego planu zagospodarowania przestrzennego zagospodarowania przestrzennego Gminy Bytom – etap IV – dla ter</w:t>
      </w:r>
      <w:r>
        <w:rPr>
          <w:rFonts w:eastAsia="Times New Roman" w:cs="Times New Roman"/>
          <w:szCs w:val="20"/>
        </w:rPr>
        <w:t>enu położonego w rejonie ulicy Siemianowickiej wraz z prognozą oddziaływania na środowisko i zorganizowanie w dniu 14 lipca 2025 r. dyskusji publicznej nad przyjętymi w projekcie planu rozwiązaniami;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</w:t>
      </w:r>
      <w:r>
        <w:rPr>
          <w:rFonts w:eastAsia="Times New Roman" w:cs="Times New Roman"/>
          <w:szCs w:val="20"/>
        </w:rPr>
        <w:t>lanu zagospodarowania przestrzennego zagospodarowania przestrzennego Gminy Bytom – etap IV – dla terenu położonego w rejonie ulicy Siemianowickiej w terminie od 30 lipca 2025 r. do 14 sierpnia 2025 r.</w:t>
      </w:r>
    </w:p>
    <w:p w:rsidR="000B32ED" w:rsidRDefault="004740C4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</w:t>
      </w:r>
      <w:r>
        <w:rPr>
          <w:rFonts w:eastAsia="Times New Roman" w:cs="Times New Roman"/>
          <w:szCs w:val="20"/>
        </w:rPr>
        <w:t>stycznych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</w:t>
      </w:r>
      <w:r>
        <w:rPr>
          <w:rFonts w:eastAsia="Times New Roman" w:cs="Times New Roman"/>
          <w:szCs w:val="20"/>
        </w:rPr>
        <w:t>odstawie art. 21, art. 39 i art. 54 ustawy z dnia 3 października 2008 r. o udostępnieniu informacji o środowisku i jego ochronie, udziale społeczeństwa w ochronie środowiska oraz o ocenach oddziaływania na środowisko (Dz. U. z 2024 r. poz. 1112, z późn. zm</w:t>
      </w:r>
      <w:r>
        <w:rPr>
          <w:rFonts w:eastAsia="Times New Roman" w:cs="Times New Roman"/>
          <w:szCs w:val="20"/>
        </w:rPr>
        <w:t>.).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</w:t>
      </w:r>
      <w:r>
        <w:rPr>
          <w:rFonts w:eastAsia="Times New Roman" w:cs="Times New Roman"/>
          <w:szCs w:val="20"/>
        </w:rPr>
        <w:t>dy w odniesieniu do planowanego zagospodarowania terenów.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</w:t>
      </w:r>
      <w:r>
        <w:rPr>
          <w:rFonts w:eastAsia="Times New Roman" w:cs="Times New Roman"/>
          <w:szCs w:val="20"/>
        </w:rPr>
        <w:t>jąc przeznaczenie terenu, a także określając sposób zagospodarowania i korzystania z terenu, Prezydent Miasta wziął pod uwagę interes publiczny i interesy prywatne oraz ustosunkował się do zgłoszonych wniosków i uwag.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</w:t>
      </w:r>
      <w:r>
        <w:rPr>
          <w:rFonts w:eastAsia="Times New Roman" w:cs="Times New Roman"/>
          <w:szCs w:val="20"/>
        </w:rPr>
        <w:t>zennego, efektywnego gospodarowania przestrzenią oraz walorów ekonomicznych przestrzeni w przypadku sytuowania nowej zabudowy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</w:t>
      </w:r>
      <w:r>
        <w:rPr>
          <w:rFonts w:eastAsia="Times New Roman" w:cs="Times New Roman"/>
          <w:szCs w:val="20"/>
        </w:rPr>
        <w:t>ry ekonomiczne przestrzeni, w szczególności: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układ komunikacyjny, uwzględniając funkcję i charakter zabudowy istniejącej na terenie objętym planem, stanowiącym w przeważającej częśc</w:t>
      </w:r>
      <w:r>
        <w:rPr>
          <w:rFonts w:eastAsia="Times New Roman" w:cs="Times New Roman"/>
          <w:szCs w:val="20"/>
        </w:rPr>
        <w:t>i teren poprzemysłowy;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sportowo-rekreacyjne, dojazdy, ciągi piesze, ciągi pieszo-jezdne, ści</w:t>
      </w:r>
      <w:r>
        <w:rPr>
          <w:rFonts w:eastAsia="Times New Roman" w:cs="Times New Roman"/>
          <w:szCs w:val="20"/>
        </w:rPr>
        <w:t xml:space="preserve">eżki rowerowe, zieleń </w:t>
      </w:r>
      <w:r>
        <w:rPr>
          <w:rFonts w:eastAsia="Times New Roman" w:cs="Times New Roman"/>
          <w:szCs w:val="20"/>
        </w:rPr>
        <w:lastRenderedPageBreak/>
        <w:t>urządzona, zieleń izolacyjna, obiekty małej architektury oraz elementy wyposażenia miejskiego.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 – zgodnie z kierunkami określonymi w „Studium uwarunkowań i kierunków zagospodarowania przestrzennego Gminy B</w:t>
      </w:r>
      <w:r>
        <w:rPr>
          <w:rFonts w:eastAsia="Times New Roman" w:cs="Times New Roman"/>
          <w:szCs w:val="20"/>
        </w:rPr>
        <w:t>ytom” – nowa zabudowa przyczyni się do bardziej efektywnego wykorzystania terenów.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II. Zgodność z wynikami analizy, o której mowa w art. 32 ust. 1 ustawy o planowaniu i zagospodarowaniu przestrzennym wraz z datą uchwały rady gminy, o której mowa w art. 32 </w:t>
      </w:r>
      <w:r>
        <w:rPr>
          <w:rFonts w:eastAsia="Times New Roman" w:cs="Times New Roman"/>
          <w:szCs w:val="20"/>
        </w:rPr>
        <w:t>ust. 2 ww. ustawy oraz sposób uwzględnienia uniwersalnego projektowania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Sporządzony projekt planu nie wykazuje niezgodności z wynikami „Analizy zmian w zagospodarowaniu przestrzennym Gminy Bytom w latach 2018 – 2023”, przyjętej uchwałą nr XCI/1142/24 Rady </w:t>
      </w:r>
      <w:r>
        <w:rPr>
          <w:rFonts w:eastAsia="Times New Roman" w:cs="Times New Roman"/>
          <w:szCs w:val="20"/>
        </w:rPr>
        <w:t xml:space="preserve">Miejskiej w Bytomiu z dnia 15 marca 2024 r. W ww. analizie wskazano bowiem zarówno na potrzebę sporządzenia miejscowych planów zagospodarowania przestrzennego dla terenów nieobjętych planami miejscowymi jak i na zasadność kontynuacji prac nad aktualizacją </w:t>
      </w:r>
      <w:r>
        <w:rPr>
          <w:rFonts w:eastAsia="Times New Roman" w:cs="Times New Roman"/>
          <w:szCs w:val="20"/>
        </w:rPr>
        <w:t>obowiązujących miejscowych planów zagospodarowania przestrzennego, z uwzględnieniem zachodzących zmian w zagospodarowaniu przestrzennym oraz aktualnych wymogów prawnych, a także obecnych potrzeb rozwoju przestrzennego miasta. Projekt planu uwzględnia także</w:t>
      </w:r>
      <w:r>
        <w:rPr>
          <w:rFonts w:eastAsia="Times New Roman" w:cs="Times New Roman"/>
          <w:szCs w:val="20"/>
        </w:rPr>
        <w:t xml:space="preserve"> uniwersalne projektowanie, w tym m. in. określenie liczby miejsc do parkowania dla pojazdów zaopatrzonych w kartę parkingową.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wyniku sporządzenia prognozy skutków finansowych uchwalenia przedmiotowego </w:t>
      </w:r>
      <w:r>
        <w:rPr>
          <w:rFonts w:eastAsia="Times New Roman" w:cs="Times New Roman"/>
          <w:szCs w:val="20"/>
        </w:rPr>
        <w:t>miejscowego planu zagospodarowania przestrzennego stwierdzono, że wskaźnik ekonomiczny inwestycji, jaką jest uchwalenie miejscowego planu zagospodarowania przestrzennego zagospodarowania przestrzennego Gminy Bytom – etap IV – dla terenu położonego w rejoni</w:t>
      </w:r>
      <w:r>
        <w:rPr>
          <w:rFonts w:eastAsia="Times New Roman" w:cs="Times New Roman"/>
          <w:szCs w:val="20"/>
        </w:rPr>
        <w:t>e ulicy Siemianowickiej, jest dodatni.</w:t>
      </w:r>
    </w:p>
    <w:p w:rsidR="000B32ED" w:rsidRDefault="004740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przeznaczenia terenów może przynieść skutek w postaci dochodu gminy z tytułu pobrania opłaty planistycznej oraz sprzedaży nieruchomości będących jej własnością.</w:t>
      </w:r>
    </w:p>
    <w:sectPr w:rsidR="000B32ED" w:rsidSect="000B32ED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2ED" w:rsidRDefault="000B32ED" w:rsidP="000B32ED">
      <w:r>
        <w:separator/>
      </w:r>
    </w:p>
  </w:endnote>
  <w:endnote w:type="continuationSeparator" w:id="0">
    <w:p w:rsidR="000B32ED" w:rsidRDefault="000B32ED" w:rsidP="000B3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B32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rPr>
              <w:sz w:val="18"/>
            </w:rPr>
          </w:pPr>
          <w:r>
            <w:rPr>
              <w:sz w:val="18"/>
            </w:rPr>
            <w:t>Id: 772BA58B-193E-400F-9052-6873B47AB91E.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2E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B32ED">
            <w:rPr>
              <w:sz w:val="18"/>
            </w:rPr>
            <w:fldChar w:fldCharType="end"/>
          </w:r>
        </w:p>
      </w:tc>
    </w:tr>
  </w:tbl>
  <w:p w:rsidR="000B32ED" w:rsidRDefault="000B32E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B32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772BA58B-193E-400F-9052-6873B47AB91E.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2E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21</w:t>
          </w:r>
          <w:r w:rsidR="000B32ED">
            <w:rPr>
              <w:sz w:val="18"/>
            </w:rPr>
            <w:fldChar w:fldCharType="end"/>
          </w:r>
        </w:p>
      </w:tc>
    </w:tr>
  </w:tbl>
  <w:p w:rsidR="000B32ED" w:rsidRDefault="000B32E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B32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rPr>
              <w:sz w:val="18"/>
            </w:rPr>
          </w:pPr>
          <w:r>
            <w:rPr>
              <w:sz w:val="18"/>
            </w:rPr>
            <w:t>Id: 772BA58B-193E-400F-9052-6873B47AB91E.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2E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24</w:t>
          </w:r>
          <w:r w:rsidR="000B32ED">
            <w:rPr>
              <w:sz w:val="18"/>
            </w:rPr>
            <w:fldChar w:fldCharType="end"/>
          </w:r>
        </w:p>
      </w:tc>
    </w:tr>
  </w:tbl>
  <w:p w:rsidR="000B32ED" w:rsidRDefault="000B32ED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B32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rPr>
              <w:sz w:val="18"/>
            </w:rPr>
          </w:pPr>
          <w:r>
            <w:rPr>
              <w:sz w:val="18"/>
            </w:rPr>
            <w:t>Id: 772BA58B-193E-400F-9052-6873B47AB91E.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2E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25</w:t>
          </w:r>
          <w:r w:rsidR="000B32ED">
            <w:rPr>
              <w:sz w:val="18"/>
            </w:rPr>
            <w:fldChar w:fldCharType="end"/>
          </w:r>
        </w:p>
      </w:tc>
    </w:tr>
  </w:tbl>
  <w:p w:rsidR="000B32ED" w:rsidRDefault="000B32ED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B32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rPr>
              <w:sz w:val="18"/>
            </w:rPr>
          </w:pPr>
          <w:r>
            <w:rPr>
              <w:sz w:val="18"/>
            </w:rPr>
            <w:t>Id: 772BA58B-193E-400F-9052-6873B47AB91E.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2E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26</w:t>
          </w:r>
          <w:r w:rsidR="000B32ED">
            <w:rPr>
              <w:sz w:val="18"/>
            </w:rPr>
            <w:fldChar w:fldCharType="end"/>
          </w:r>
        </w:p>
      </w:tc>
    </w:tr>
  </w:tbl>
  <w:p w:rsidR="000B32ED" w:rsidRDefault="000B32ED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B32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rPr>
              <w:sz w:val="18"/>
            </w:rPr>
          </w:pPr>
          <w:r>
            <w:rPr>
              <w:sz w:val="18"/>
            </w:rPr>
            <w:t>Id: 772BA58B-193E-400F-9052-6873B47AB91E.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B32ED" w:rsidRDefault="00474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32E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31</w:t>
          </w:r>
          <w:r w:rsidR="000B32ED">
            <w:rPr>
              <w:sz w:val="18"/>
            </w:rPr>
            <w:fldChar w:fldCharType="end"/>
          </w:r>
        </w:p>
      </w:tc>
    </w:tr>
  </w:tbl>
  <w:p w:rsidR="000B32ED" w:rsidRDefault="000B32E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2ED" w:rsidRDefault="000B32ED" w:rsidP="000B32ED">
      <w:r>
        <w:separator/>
      </w:r>
    </w:p>
  </w:footnote>
  <w:footnote w:type="continuationSeparator" w:id="0">
    <w:p w:rsidR="000B32ED" w:rsidRDefault="000B32ED" w:rsidP="000B32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B32ED"/>
    <w:rsid w:val="004740C4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32E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Downloads\Zalacznik4.x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8679</Words>
  <Characters>56122</Characters>
  <Application>Microsoft Office Word</Application>
  <DocSecurity>0</DocSecurity>
  <Lines>467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w^sprawie uchwalenia miejscowego planu zagospodarowania przestrzennego Gminy Bytom – etap IV – dla terenu położonego w^rejonie ulicy Siemianowickiej</dc:subject>
  <dc:creator>bdobrowolska</dc:creator>
  <cp:lastModifiedBy>asteuer</cp:lastModifiedBy>
  <cp:revision>2</cp:revision>
  <dcterms:created xsi:type="dcterms:W3CDTF">2025-09-18T10:37:00Z</dcterms:created>
  <dcterms:modified xsi:type="dcterms:W3CDTF">2025-09-18T10:37:00Z</dcterms:modified>
  <cp:category>Akt prawny</cp:category>
</cp:coreProperties>
</file>