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XX/182/25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25 sierpnia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niedochodzenia należności cywilnoprawnych przypadających miastu Bytom oraz jego jednostkom organizacyjnym, których kwota wraz z odsetkami nie przekracza 100 zł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59a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1530,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Postanawia się nie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dochodzić należności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charakterze cywilnoprawnym przypadających miastu Bytom oraz jego jednostkom organizacyjnym wymienionym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publicznych, których kwota wraz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odsetkami nie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przekracza 100,00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ustawą o finansach publicznych jednostki sektora finansów publicznych zobowiązane są dochodzić swoich należności, aby nie narazić się na odpowiedzialność z tytułu naruszenia dyscypliny finansów publicznych, niezależnie od ich wartości. Równocześnie ustawodawca, chcąc umożliwić samorządom racjonalizację kosztów dopuścił w art. 59a ustawy o finansach publicznych, że: „Organ stanowiący jednostki samorządu terytorialnego może, w drodze uchwały, postanowić o niedochodzeniu należności o charakterze cywilnoprawnym przypadających jednostce samorządu terytorialnego lub jej jednostkom organizacyjnym wymienionym w art. 9 pkt 3, 4 i 13, których kwota wraz z odsetkami nie przekracza 100 zł”.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Opierając się o zasadę racjonalizacji kosztów w jednostkach sektora finansów publicznych w kontekście gospodarki budżetowej, zasadne jest podjęcie uchwały o niedochodzeniu niezrealizowanych należności cywilnoprawnych, których wysokość wraz z odsetkami nie przekracza 100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Realizując windykację i egzekucję tych należności wierzyciel narażony jest na poniesienie dodatkowych kosztów często przekraczających kwotę egzekwowanej należności.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niniejsza dotyczy wszystkich jednostek organizacyjnych miasta Bytomia stanowiących sektor finansów publicznych i obejmuje niezrealizowane, wymagalne należności cywilnoprawne istniejące na dzień wejścia w życie uchwały i powstałe w przyszłości.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celu racjonalizacji kosztów stosowne jest podjęcie niniejszej uchwały.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3C47F752-556A-4057-AC6F-E8BF736CC537.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3C47F752-556A-4057-AC6F-E8BF736CC537.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XX/182/25 z dnia 25 sierpnia 2025 r.</dc:title>
  <dc:subject>w sprawie niedochodzenia należności cywilnoprawnych przypadających miastu Bytom oraz jego jednostkom organizacyjnym, których kwota wraz z^odsetkami nie^przekracza 100^zł</dc:subject>
  <dc:creator>masocha</dc:creator>
  <cp:lastModifiedBy>masocha</cp:lastModifiedBy>
  <cp:revision>1</cp:revision>
  <dcterms:created xsi:type="dcterms:W3CDTF">2025-08-25T15:53:32Z</dcterms:created>
  <dcterms:modified xsi:type="dcterms:W3CDTF">2025-08-25T15:53:32Z</dcterms:modified>
  <cp:category>Akt prawny</cp:category>
</cp:coreProperties>
</file>