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C7EF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C7EF4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5C7EF4">
      <w:pPr>
        <w:keepNext/>
        <w:spacing w:after="480" w:line="276" w:lineRule="auto"/>
        <w:jc w:val="center"/>
      </w:pPr>
      <w:r>
        <w:rPr>
          <w:b/>
        </w:rPr>
        <w:t>w sprawie niedochodzenia należności cywilnoprawnych przypadających miastu Bytom oraz jego jednostkom organizacyjnym, których kwota wraz z odsetkami nie przekracza 100 zł</w:t>
      </w:r>
    </w:p>
    <w:p w:rsidR="00A77B3E" w:rsidRDefault="005C7EF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 samorządzie gminnym (Dz. U. z 2024 r. poz. 1465, z </w:t>
      </w:r>
      <w:proofErr w:type="spellStart"/>
      <w:r>
        <w:t>późn</w:t>
      </w:r>
      <w:proofErr w:type="spellEnd"/>
      <w:r>
        <w:t>. zm.), art. 12 </w:t>
      </w:r>
      <w:proofErr w:type="spellStart"/>
      <w:r>
        <w:t>pkt</w:t>
      </w:r>
      <w:proofErr w:type="spellEnd"/>
      <w:r>
        <w:t> 11 ustawy z dnia 5 czerwca 1998 r. o samorządzie powiatowym (Dz. U. z 2024 r. poz. 107), art. 4 ust. 1, art. 8 i art. 13 </w:t>
      </w:r>
      <w:proofErr w:type="spellStart"/>
      <w:r>
        <w:t>pkt</w:t>
      </w:r>
      <w:proofErr w:type="spellEnd"/>
      <w:r>
        <w:t> 2 ustawy z dnia 20 lipca 2000 r. o ogłaszaniu aktów normatywnych i niektórych innych aktów prawnych (Dz. U. z 2019 r. poz. 1461) w zw. z art. 59a ustawy z dnia 27 sierpnia 2009 r. o finansach publicznych (Dz. U. z 2024 r. poz. 1530,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5C7EF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Postanawia się nie dochodzić należności o charakterze cywilnoprawnym przypadających miastu Bytom oraz jego jednostkom organizacyjnym wymienionym w art. 9 pkt. 3 i 13 ustawy z dnia 27 sierpnia 2009 roku o finansach publicznych, których kwota wraz z odsetkami nie przekracza 100,00 zł.</w:t>
      </w:r>
    </w:p>
    <w:p w:rsidR="00A77B3E" w:rsidRDefault="005C7EF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5C7EF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ogłoszenia w Dzienniku Urzędowym Województwa Śląskiego.</w:t>
      </w:r>
    </w:p>
    <w:p w:rsidR="00AB54AD" w:rsidRDefault="00AB54AD">
      <w:pPr>
        <w:rPr>
          <w:rFonts w:eastAsia="Times New Roman" w:cs="Times New Roman"/>
          <w:szCs w:val="20"/>
        </w:rPr>
      </w:pPr>
    </w:p>
    <w:p w:rsidR="00AB54AD" w:rsidRDefault="005C7EF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B54AD" w:rsidRDefault="005C7EF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o finansach publicznych jednostki sektora finansów publicznych zobowiązane są dochodzić swoich należności, aby nie narazić się na odpowiedzialność z tytułu naruszenia dyscypliny finansów publicznych, niezależnie od ich wartości. Równocześnie ustawodawca, chcąc umożliwić samorządom racjonalizację kosztów dopuścił w art. 59a ustawy o finansach publicznych, że: „Organ stanowiący jednostki samorządu terytorialnego może, w drodze uchwały, postanowić o niedochodzeniu należności o charakterze cywilnoprawnym przypadających jednostce samorządu terytorialnego lub jej jednostkom organizacyjnym wymienionym w art. 9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3, 4 i 13, których kwota wraz z odsetkami nie przekracza 100 zł”.</w:t>
      </w:r>
    </w:p>
    <w:p w:rsidR="00AB54AD" w:rsidRDefault="005C7EF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Opierając się o zasadę racjonalizacji kosztów w jednostkach sektora finansów publicznych w kontekście gospodarki budżetowej, zasadne jest podjęcie uchwały o niedochodzeniu niezrealizowanych należności cywilnoprawnych, których wysokość wraz z odsetkami nie przekracza 100 zł.</w:t>
      </w:r>
    </w:p>
    <w:p w:rsidR="00AB54AD" w:rsidRDefault="005C7EF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Realizując windykację i egzekucję tych należności wierzyciel narażony jest na poniesienie dodatkowych kosztów często przekraczających kwotę egzekwowanej należności.</w:t>
      </w:r>
    </w:p>
    <w:p w:rsidR="00AB54AD" w:rsidRDefault="005C7EF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niniejsza dotyczy wszystkich jednostek organizacyjnych miasta Bytomia stanowiących sektor finansów publicznych i obejmuje niezrealizowane, wymagalne należności cywilnoprawne istniejące na dzień wejścia w życie uchwały i powstałe w przyszłości.</w:t>
      </w:r>
    </w:p>
    <w:p w:rsidR="00AB54AD" w:rsidRDefault="005C7EF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celu racjonalizacji kosztów stosowne jest podjęcie niniejszej uchwały.</w:t>
      </w:r>
    </w:p>
    <w:sectPr w:rsidR="00AB54AD" w:rsidSect="00AB54A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4AD" w:rsidRDefault="00AB54AD" w:rsidP="00AB54AD">
      <w:r>
        <w:separator/>
      </w:r>
    </w:p>
  </w:endnote>
  <w:endnote w:type="continuationSeparator" w:id="0">
    <w:p w:rsidR="00AB54AD" w:rsidRDefault="00AB54AD" w:rsidP="00AB5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B54A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4AD" w:rsidRDefault="005C7EF4">
          <w:pPr>
            <w:rPr>
              <w:sz w:val="18"/>
            </w:rPr>
          </w:pPr>
          <w:r>
            <w:rPr>
              <w:sz w:val="18"/>
            </w:rPr>
            <w:t>Id: 59951D5F-B5D9-4A14-B555-48D8E208CB8D.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4AD" w:rsidRDefault="005C7E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4234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4234E">
            <w:rPr>
              <w:sz w:val="18"/>
            </w:rPr>
            <w:fldChar w:fldCharType="separate"/>
          </w:r>
          <w:r w:rsidR="00D22AF7">
            <w:rPr>
              <w:noProof/>
              <w:sz w:val="18"/>
            </w:rPr>
            <w:t>1</w:t>
          </w:r>
          <w:r w:rsidR="00B4234E">
            <w:rPr>
              <w:sz w:val="18"/>
            </w:rPr>
            <w:fldChar w:fldCharType="end"/>
          </w:r>
        </w:p>
      </w:tc>
    </w:tr>
  </w:tbl>
  <w:p w:rsidR="00AB54AD" w:rsidRDefault="00AB54A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B54A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4AD" w:rsidRDefault="005C7EF4">
          <w:pPr>
            <w:rPr>
              <w:sz w:val="18"/>
            </w:rPr>
          </w:pPr>
          <w:r>
            <w:rPr>
              <w:sz w:val="18"/>
            </w:rPr>
            <w:t>Id: 59951D5F-B5D9-4A14-B555-48D8E208CB8D.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B54AD" w:rsidRDefault="005C7E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4234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4234E">
            <w:rPr>
              <w:sz w:val="18"/>
            </w:rPr>
            <w:fldChar w:fldCharType="separate"/>
          </w:r>
          <w:r w:rsidR="00D22AF7">
            <w:rPr>
              <w:noProof/>
              <w:sz w:val="18"/>
            </w:rPr>
            <w:t>2</w:t>
          </w:r>
          <w:r w:rsidR="00B4234E">
            <w:rPr>
              <w:sz w:val="18"/>
            </w:rPr>
            <w:fldChar w:fldCharType="end"/>
          </w:r>
        </w:p>
      </w:tc>
    </w:tr>
  </w:tbl>
  <w:p w:rsidR="00AB54AD" w:rsidRDefault="00AB54A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4AD" w:rsidRDefault="00AB54AD" w:rsidP="00AB54AD">
      <w:r>
        <w:separator/>
      </w:r>
    </w:p>
  </w:footnote>
  <w:footnote w:type="continuationSeparator" w:id="0">
    <w:p w:rsidR="00AB54AD" w:rsidRDefault="00AB54AD" w:rsidP="00AB54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C7EF4"/>
    <w:rsid w:val="00A77B3E"/>
    <w:rsid w:val="00AB54AD"/>
    <w:rsid w:val="00B4234E"/>
    <w:rsid w:val="00CA2A55"/>
    <w:rsid w:val="00D2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54A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niedochodzenia należności cywilnoprawnych przypadających miastu Bytom oraz jego jednostkom organizacyjnym, których kwota wraz z^odsetkami nie^przekracza 100^zł.</dc:subject>
  <dc:creator>gmazgaj</dc:creator>
  <cp:lastModifiedBy>asteuer</cp:lastModifiedBy>
  <cp:revision>3</cp:revision>
  <dcterms:created xsi:type="dcterms:W3CDTF">2025-08-04T15:19:00Z</dcterms:created>
  <dcterms:modified xsi:type="dcterms:W3CDTF">2025-08-14T11:17:00Z</dcterms:modified>
  <cp:category>Akt prawny</cp:category>
</cp:coreProperties>
</file>